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067273" w:rsidRDefault="00F92268" w:rsidP="00E15E77">
      <w:pPr>
        <w:pStyle w:val="BodyText"/>
        <w:spacing w:after="0"/>
        <w:rPr>
          <w:sz w:val="6"/>
          <w:szCs w:val="6"/>
        </w:rPr>
      </w:pPr>
      <w:r w:rsidRPr="00067273">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067273"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067273" w:rsidRDefault="00F92268" w:rsidP="00F246C7">
            <w:pPr>
              <w:pStyle w:val="RefTableData"/>
            </w:pPr>
            <w:r w:rsidRPr="00067273">
              <w:t>Reference number(s)</w:t>
            </w:r>
          </w:p>
        </w:tc>
      </w:tr>
      <w:tr w:rsidR="00F92268" w:rsidRPr="00067273"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267CFD2" w:rsidR="00F92268" w:rsidRPr="00067273" w:rsidRDefault="00CD1734" w:rsidP="00F246C7">
            <w:pPr>
              <w:pStyle w:val="RefTableHeader"/>
            </w:pPr>
            <w:r w:rsidRPr="00067273">
              <w:t>1918</w:t>
            </w:r>
            <w:r w:rsidR="001B3C21" w:rsidRPr="00067273">
              <w:t>-A</w:t>
            </w:r>
            <w:r w:rsidRPr="00067273">
              <w:t>, 6056-A</w:t>
            </w:r>
          </w:p>
        </w:tc>
      </w:tr>
    </w:tbl>
    <w:p w14:paraId="74FBA5B4" w14:textId="77777777" w:rsidR="00051356" w:rsidRPr="00067273" w:rsidRDefault="00051356" w:rsidP="00E15E77">
      <w:pPr>
        <w:pStyle w:val="BodyText"/>
        <w:spacing w:after="0"/>
        <w:rPr>
          <w:b/>
          <w:bCs/>
          <w:sz w:val="16"/>
          <w:szCs w:val="16"/>
        </w:rPr>
        <w:sectPr w:rsidR="00051356" w:rsidRPr="00067273" w:rsidSect="00F939A3">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3797BD7A" w:rsidR="004B15BB" w:rsidRPr="00067273" w:rsidRDefault="00694A62" w:rsidP="007E5C16">
      <w:pPr>
        <w:pStyle w:val="Heading1"/>
      </w:pPr>
      <w:bookmarkStart w:id="0" w:name="_Hlk164240546"/>
      <w:bookmarkStart w:id="1" w:name="_Hlk164240479"/>
      <w:r w:rsidRPr="00067273">
        <w:t>Specialty Guideline Management</w:t>
      </w:r>
      <w:r w:rsidR="00AD68C8" w:rsidRPr="00067273">
        <w:br/>
        <w:t>Zoladex</w:t>
      </w:r>
    </w:p>
    <w:p w14:paraId="78861C92" w14:textId="6E6ED463" w:rsidR="00203468" w:rsidRPr="00067273" w:rsidRDefault="00C64534" w:rsidP="008E0F0D">
      <w:pPr>
        <w:pStyle w:val="Heading2"/>
      </w:pPr>
      <w:r w:rsidRPr="00067273">
        <w:t xml:space="preserve">Products Referenced by this </w:t>
      </w:r>
      <w:r w:rsidR="00501602" w:rsidRPr="00067273">
        <w:t>Document</w:t>
      </w:r>
    </w:p>
    <w:p w14:paraId="5455152B" w14:textId="0C9429FD" w:rsidR="008E0F0D" w:rsidRPr="00067273" w:rsidRDefault="00D82D85" w:rsidP="008B73E8">
      <w:pPr>
        <w:pStyle w:val="BodyText"/>
      </w:pPr>
      <w:r w:rsidRPr="00067273">
        <w:t xml:space="preserve">Drugs that are listed in the </w:t>
      </w:r>
      <w:r w:rsidR="000315F1" w:rsidRPr="00067273">
        <w:t>following table</w:t>
      </w:r>
      <w:r w:rsidRPr="00067273">
        <w:t xml:space="preserve"> include both brand and generic and all dosage forms and strengths unless otherwise stated. </w:t>
      </w:r>
      <w:proofErr w:type="gramStart"/>
      <w:r w:rsidR="006174EA">
        <w:t>Over-the-counter</w:t>
      </w:r>
      <w:proofErr w:type="gramEnd"/>
      <w:r w:rsidR="006174EA">
        <w:t xml:space="preserve"> </w:t>
      </w:r>
      <w:r w:rsidR="00E319D8">
        <w:t>(</w:t>
      </w:r>
      <w:r w:rsidRPr="00067273">
        <w:t>OTC</w:t>
      </w:r>
      <w:r w:rsidR="00E319D8">
        <w:t>)</w:t>
      </w:r>
      <w:r w:rsidRPr="00067273">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067273" w14:paraId="158421F8" w14:textId="77777777" w:rsidTr="000C5A6F">
        <w:trPr>
          <w:cantSplit/>
          <w:trHeight w:val="288"/>
          <w:tblHeader/>
        </w:trPr>
        <w:tc>
          <w:tcPr>
            <w:tcW w:w="5265" w:type="dxa"/>
            <w:vAlign w:val="center"/>
          </w:tcPr>
          <w:p w14:paraId="2A27354A" w14:textId="1390179E" w:rsidR="00252CE1" w:rsidRPr="00067273" w:rsidRDefault="00252CE1" w:rsidP="00AA1E6A">
            <w:pPr>
              <w:pStyle w:val="TableHeader"/>
            </w:pPr>
            <w:bookmarkStart w:id="2" w:name="_Hlk159603270"/>
            <w:r w:rsidRPr="00067273">
              <w:t>Brand Name</w:t>
            </w:r>
          </w:p>
        </w:tc>
        <w:tc>
          <w:tcPr>
            <w:tcW w:w="5595" w:type="dxa"/>
            <w:vAlign w:val="center"/>
          </w:tcPr>
          <w:p w14:paraId="3D342BE1" w14:textId="75F11EF1" w:rsidR="00252CE1" w:rsidRPr="00067273" w:rsidRDefault="00252CE1" w:rsidP="00AA1E6A">
            <w:pPr>
              <w:pStyle w:val="TableHeader"/>
            </w:pPr>
            <w:r w:rsidRPr="00067273">
              <w:t>Generic Name</w:t>
            </w:r>
          </w:p>
        </w:tc>
      </w:tr>
      <w:tr w:rsidR="00585FFF" w:rsidRPr="00067273" w14:paraId="2AD5C02D" w14:textId="77777777" w:rsidTr="000C5A6F">
        <w:trPr>
          <w:cantSplit/>
        </w:trPr>
        <w:tc>
          <w:tcPr>
            <w:tcW w:w="5265" w:type="dxa"/>
          </w:tcPr>
          <w:p w14:paraId="2D8FA8E3" w14:textId="0ACE844B" w:rsidR="00585FFF" w:rsidRPr="00067273" w:rsidRDefault="00AD68C8" w:rsidP="00E82ABA">
            <w:pPr>
              <w:pStyle w:val="TableDataUnpadded"/>
            </w:pPr>
            <w:r w:rsidRPr="00067273">
              <w:t>Zoladex</w:t>
            </w:r>
          </w:p>
        </w:tc>
        <w:tc>
          <w:tcPr>
            <w:tcW w:w="5595" w:type="dxa"/>
          </w:tcPr>
          <w:p w14:paraId="7E26A004" w14:textId="73078D93" w:rsidR="00585FFF" w:rsidRPr="00067273" w:rsidRDefault="00AD68C8" w:rsidP="00E82ABA">
            <w:pPr>
              <w:pStyle w:val="TableDataUnpadded"/>
            </w:pPr>
            <w:r w:rsidRPr="00067273">
              <w:t>goserelin acetate</w:t>
            </w:r>
          </w:p>
        </w:tc>
      </w:tr>
    </w:tbl>
    <w:bookmarkEnd w:id="2"/>
    <w:p w14:paraId="14CE6108" w14:textId="7C0AFA99" w:rsidR="00FC1AAD" w:rsidRPr="00067273" w:rsidRDefault="00ED052F" w:rsidP="00AA2A94">
      <w:pPr>
        <w:pStyle w:val="Heading2"/>
        <w:tabs>
          <w:tab w:val="left" w:pos="9540"/>
        </w:tabs>
      </w:pPr>
      <w:r w:rsidRPr="00067273">
        <w:t>Indications</w:t>
      </w:r>
    </w:p>
    <w:p w14:paraId="5AF60C0E" w14:textId="722C070C" w:rsidR="00AD68C8" w:rsidRPr="00067273" w:rsidRDefault="00AD68C8" w:rsidP="00AA472A">
      <w:pPr>
        <w:pStyle w:val="BodyText"/>
      </w:pPr>
      <w:r w:rsidRPr="00067273">
        <w:t xml:space="preserve">The indications below including FDA-approved indications and compendial uses are considered a covered benefit provided that all the approval criteria are </w:t>
      </w:r>
      <w:proofErr w:type="gramStart"/>
      <w:r w:rsidRPr="00067273">
        <w:t>met</w:t>
      </w:r>
      <w:proofErr w:type="gramEnd"/>
      <w:r w:rsidRPr="00067273">
        <w:t xml:space="preserve"> and the member has no exclusions to the prescribed therapy.</w:t>
      </w:r>
    </w:p>
    <w:p w14:paraId="134B5687" w14:textId="097EF700" w:rsidR="00ED052F" w:rsidRPr="00067273" w:rsidRDefault="00ED052F" w:rsidP="00ED052F">
      <w:pPr>
        <w:pStyle w:val="Heading3"/>
        <w:keepNext w:val="0"/>
      </w:pPr>
      <w:r w:rsidRPr="00067273">
        <w:t>FDA-</w:t>
      </w:r>
      <w:r w:rsidR="00067273">
        <w:t>A</w:t>
      </w:r>
      <w:r w:rsidRPr="00067273">
        <w:t>pproved Indications</w:t>
      </w:r>
      <w:r w:rsidR="00AD68C8" w:rsidRPr="00067273">
        <w:rPr>
          <w:vertAlign w:val="superscript"/>
        </w:rPr>
        <w:t>1,2</w:t>
      </w:r>
    </w:p>
    <w:p w14:paraId="44B5AA53" w14:textId="10B1DA8B" w:rsidR="00AD68C8" w:rsidRPr="00067273" w:rsidRDefault="00AD68C8" w:rsidP="00E15E77">
      <w:pPr>
        <w:pStyle w:val="Heading4"/>
      </w:pPr>
      <w:r w:rsidRPr="00067273">
        <w:t xml:space="preserve">Prostate </w:t>
      </w:r>
      <w:r w:rsidR="00E15E77" w:rsidRPr="00067273">
        <w:t>Cancer</w:t>
      </w:r>
    </w:p>
    <w:p w14:paraId="085409AC" w14:textId="44471918" w:rsidR="00AD68C8" w:rsidRPr="00067273" w:rsidRDefault="00AD68C8" w:rsidP="00FC2F64">
      <w:pPr>
        <w:pStyle w:val="ListParagraph"/>
        <w:numPr>
          <w:ilvl w:val="0"/>
          <w:numId w:val="21"/>
        </w:numPr>
      </w:pPr>
      <w:r w:rsidRPr="00067273">
        <w:t>For use in combination with flutamide for the management of locally confined stage T2b-T4 (Stage B2-C) carcinoma of the prostate. Treatment with Zoladex and flutamide should start 8 weeks prior to initiating radiation therapy and continue during radiation therapy.</w:t>
      </w:r>
    </w:p>
    <w:p w14:paraId="1B03C4F5" w14:textId="4DF81F1C" w:rsidR="00AD68C8" w:rsidRPr="00067273" w:rsidRDefault="00AD68C8" w:rsidP="00FC2F64">
      <w:pPr>
        <w:pStyle w:val="ListParagraph"/>
        <w:numPr>
          <w:ilvl w:val="0"/>
          <w:numId w:val="21"/>
        </w:numPr>
      </w:pPr>
      <w:r w:rsidRPr="00067273">
        <w:t>In the palliative treatment of advanced carcinoma of the prostate</w:t>
      </w:r>
      <w:r w:rsidR="00F37804">
        <w:t>.</w:t>
      </w:r>
    </w:p>
    <w:p w14:paraId="7AA7AAB1" w14:textId="7EAAB50A" w:rsidR="00AD68C8" w:rsidRPr="00067273" w:rsidRDefault="00AD68C8" w:rsidP="00E15E77">
      <w:pPr>
        <w:pStyle w:val="Heading4"/>
      </w:pPr>
      <w:r w:rsidRPr="00067273">
        <w:t>Endometriosis</w:t>
      </w:r>
    </w:p>
    <w:p w14:paraId="0D4C3147" w14:textId="00F05D3A" w:rsidR="00AD68C8" w:rsidRPr="00067273" w:rsidRDefault="00AD68C8" w:rsidP="00E15E77">
      <w:pPr>
        <w:pStyle w:val="BodyText"/>
      </w:pPr>
      <w:r w:rsidRPr="00067273">
        <w:t>For the management of endometriosis, including pain relief and reduction of endometriotic lesions for the duration of therapy. Experience with Zoladex for the management of endometriosis has been limited to women 18 years of age and older treated for 6 months</w:t>
      </w:r>
      <w:r w:rsidR="00074A77">
        <w:t>.</w:t>
      </w:r>
      <w:r w:rsidRPr="00067273">
        <w:t xml:space="preserve"> (Zoladex 3.6 mg strength only)</w:t>
      </w:r>
    </w:p>
    <w:p w14:paraId="3F0B36B4" w14:textId="40CA746F" w:rsidR="00AD68C8" w:rsidRPr="00067273" w:rsidRDefault="00AD68C8" w:rsidP="00E15E77">
      <w:pPr>
        <w:pStyle w:val="Heading4"/>
        <w:keepNext w:val="0"/>
        <w:keepLines w:val="0"/>
        <w:widowControl w:val="0"/>
      </w:pPr>
      <w:r w:rsidRPr="00067273">
        <w:t xml:space="preserve">Endometrial </w:t>
      </w:r>
      <w:r w:rsidR="00E15E77" w:rsidRPr="00067273">
        <w:t>Thinning</w:t>
      </w:r>
    </w:p>
    <w:p w14:paraId="2C3E5CED" w14:textId="604581D5" w:rsidR="00AD68C8" w:rsidRPr="00067273" w:rsidRDefault="00AD68C8" w:rsidP="00E15E77">
      <w:pPr>
        <w:pStyle w:val="BodyText"/>
        <w:widowControl w:val="0"/>
      </w:pPr>
      <w:r w:rsidRPr="00067273">
        <w:t>For use as an endometrial-thinning agent prior to endometrial ablation for dysfunctional uterine bleeding</w:t>
      </w:r>
      <w:r w:rsidR="00333EE7">
        <w:t>.</w:t>
      </w:r>
      <w:r w:rsidRPr="00067273">
        <w:t xml:space="preserve"> (Zoladex 3.6 mg strength only)</w:t>
      </w:r>
    </w:p>
    <w:p w14:paraId="6F7FB926" w14:textId="0FD39C98" w:rsidR="00AD68C8" w:rsidRPr="00067273" w:rsidRDefault="00AD68C8" w:rsidP="00E15E77">
      <w:pPr>
        <w:pStyle w:val="Heading4"/>
      </w:pPr>
      <w:r w:rsidRPr="00067273">
        <w:lastRenderedPageBreak/>
        <w:t xml:space="preserve">Advanced </w:t>
      </w:r>
      <w:r w:rsidR="00E15E77" w:rsidRPr="00067273">
        <w:t>Breast Cancer</w:t>
      </w:r>
    </w:p>
    <w:p w14:paraId="1A6EE761" w14:textId="02AA14FE" w:rsidR="00AD68C8" w:rsidRPr="00067273" w:rsidRDefault="00AD68C8" w:rsidP="00E15E77">
      <w:pPr>
        <w:pStyle w:val="BodyText"/>
      </w:pPr>
      <w:r w:rsidRPr="00067273">
        <w:t>For use in the palliative treatment of advanced breast cancer in pre-and perimenopausal women</w:t>
      </w:r>
      <w:r w:rsidR="00EC7EA4">
        <w:t>.</w:t>
      </w:r>
      <w:r w:rsidRPr="00067273">
        <w:t xml:space="preserve"> (Zoladex 3.6 mg strength only)</w:t>
      </w:r>
    </w:p>
    <w:p w14:paraId="0B5EC236" w14:textId="30FA9791" w:rsidR="0044763A" w:rsidRPr="00067273" w:rsidRDefault="009F2EF1" w:rsidP="0044763A">
      <w:pPr>
        <w:pStyle w:val="Heading3"/>
      </w:pPr>
      <w:r w:rsidRPr="00067273">
        <w:t>Compendial Uses</w:t>
      </w:r>
    </w:p>
    <w:p w14:paraId="384FF73A" w14:textId="45980BE5" w:rsidR="00AD68C8" w:rsidRPr="00067273" w:rsidRDefault="00AD68C8" w:rsidP="00FC2F64">
      <w:pPr>
        <w:pStyle w:val="ListParagraph"/>
        <w:numPr>
          <w:ilvl w:val="0"/>
          <w:numId w:val="22"/>
        </w:numPr>
      </w:pPr>
      <w:r w:rsidRPr="00067273">
        <w:t>Breast cancer</w:t>
      </w:r>
      <w:r w:rsidRPr="00067273">
        <w:rPr>
          <w:vertAlign w:val="superscript"/>
        </w:rPr>
        <w:t>3,8</w:t>
      </w:r>
    </w:p>
    <w:p w14:paraId="6ECC3C8A" w14:textId="30267EBC" w:rsidR="00AD68C8" w:rsidRPr="00067273" w:rsidRDefault="00AD68C8" w:rsidP="00FC2F64">
      <w:pPr>
        <w:pStyle w:val="ListParagraph"/>
        <w:numPr>
          <w:ilvl w:val="0"/>
          <w:numId w:val="22"/>
        </w:numPr>
      </w:pPr>
      <w:r w:rsidRPr="00067273">
        <w:t>Prostate cancer</w:t>
      </w:r>
      <w:r w:rsidRPr="00067273">
        <w:rPr>
          <w:vertAlign w:val="superscript"/>
        </w:rPr>
        <w:t>3</w:t>
      </w:r>
    </w:p>
    <w:p w14:paraId="2C3B7D7C" w14:textId="4FD8C192" w:rsidR="00AD68C8" w:rsidRPr="00067273" w:rsidRDefault="00AD68C8" w:rsidP="00FC2F64">
      <w:pPr>
        <w:pStyle w:val="ListParagraph"/>
        <w:numPr>
          <w:ilvl w:val="0"/>
          <w:numId w:val="22"/>
        </w:numPr>
      </w:pPr>
      <w:r w:rsidRPr="00067273">
        <w:t>Ovarian cancer</w:t>
      </w:r>
      <w:r w:rsidRPr="00067273">
        <w:rPr>
          <w:vertAlign w:val="superscript"/>
        </w:rPr>
        <w:t>3</w:t>
      </w:r>
    </w:p>
    <w:p w14:paraId="0149C190" w14:textId="3153A94B" w:rsidR="00AD68C8" w:rsidRPr="00067273" w:rsidRDefault="00AD68C8" w:rsidP="00FC2F64">
      <w:pPr>
        <w:pStyle w:val="ListParagraph"/>
        <w:numPr>
          <w:ilvl w:val="0"/>
          <w:numId w:val="22"/>
        </w:numPr>
      </w:pPr>
      <w:r w:rsidRPr="00067273">
        <w:t>Gender dysphoria (also known as transgender and gender diverse [TGD] persons)</w:t>
      </w:r>
      <w:r w:rsidRPr="00067273">
        <w:rPr>
          <w:vertAlign w:val="superscript"/>
        </w:rPr>
        <w:t>4-7</w:t>
      </w:r>
    </w:p>
    <w:p w14:paraId="059357AE" w14:textId="561758C5" w:rsidR="00AD68C8" w:rsidRPr="00067273" w:rsidRDefault="00AD68C8" w:rsidP="00FC2F64">
      <w:pPr>
        <w:pStyle w:val="ListParagraph"/>
        <w:numPr>
          <w:ilvl w:val="0"/>
          <w:numId w:val="22"/>
        </w:numPr>
      </w:pPr>
      <w:r w:rsidRPr="00067273">
        <w:t>Preservation of ovarian function</w:t>
      </w:r>
      <w:r w:rsidRPr="00067273">
        <w:rPr>
          <w:vertAlign w:val="superscript"/>
        </w:rPr>
        <w:t>4,9-12</w:t>
      </w:r>
    </w:p>
    <w:p w14:paraId="009761B1" w14:textId="58B563B1" w:rsidR="00AD68C8" w:rsidRPr="00067273" w:rsidRDefault="00AD68C8" w:rsidP="00FC2F64">
      <w:pPr>
        <w:pStyle w:val="ListParagraph"/>
        <w:numPr>
          <w:ilvl w:val="0"/>
          <w:numId w:val="22"/>
        </w:numPr>
      </w:pPr>
      <w:r w:rsidRPr="00067273">
        <w:t>Prevention of recurrent menstrual related attacks in acute porphyria</w:t>
      </w:r>
      <w:r w:rsidRPr="00067273">
        <w:rPr>
          <w:vertAlign w:val="superscript"/>
        </w:rPr>
        <w:t>13,14</w:t>
      </w:r>
    </w:p>
    <w:p w14:paraId="04CD7A73" w14:textId="77777777" w:rsidR="00E65261" w:rsidRPr="00067273" w:rsidRDefault="00E65261" w:rsidP="00E65261">
      <w:pPr>
        <w:pStyle w:val="ListParagraph"/>
        <w:numPr>
          <w:ilvl w:val="0"/>
          <w:numId w:val="22"/>
        </w:numPr>
      </w:pPr>
      <w:r w:rsidRPr="00067273">
        <w:t>Treatment of chronic anovulatory uterine bleeding with severe anemia</w:t>
      </w:r>
      <w:r w:rsidRPr="00067273">
        <w:rPr>
          <w:vertAlign w:val="superscript"/>
        </w:rPr>
        <w:t>4</w:t>
      </w:r>
    </w:p>
    <w:p w14:paraId="1692ED06" w14:textId="2BC305C6" w:rsidR="008A56FD" w:rsidRPr="0026166B" w:rsidRDefault="00E65261" w:rsidP="00FC2F64">
      <w:pPr>
        <w:pStyle w:val="ListParagraph"/>
        <w:numPr>
          <w:ilvl w:val="0"/>
          <w:numId w:val="22"/>
        </w:numPr>
      </w:pPr>
      <w:r w:rsidRPr="0026166B">
        <w:t>Androgen receptor positive salivary gland tumors</w:t>
      </w:r>
      <w:r w:rsidR="00912B75" w:rsidRPr="0026166B">
        <w:rPr>
          <w:vertAlign w:val="superscript"/>
        </w:rPr>
        <w:t>17</w:t>
      </w:r>
    </w:p>
    <w:p w14:paraId="3FAB7879" w14:textId="38A62587" w:rsidR="00E65261" w:rsidRPr="0026166B" w:rsidRDefault="00E65261" w:rsidP="00FC2F64">
      <w:pPr>
        <w:pStyle w:val="ListParagraph"/>
        <w:numPr>
          <w:ilvl w:val="0"/>
          <w:numId w:val="22"/>
        </w:numPr>
      </w:pPr>
      <w:r w:rsidRPr="0026166B">
        <w:t>Uterine Sarcoma</w:t>
      </w:r>
      <w:r w:rsidR="00060E49" w:rsidRPr="0026166B">
        <w:rPr>
          <w:vertAlign w:val="superscript"/>
        </w:rPr>
        <w:t>3</w:t>
      </w:r>
    </w:p>
    <w:p w14:paraId="2F2D6AFA" w14:textId="0252D0DF" w:rsidR="00AD68C8" w:rsidRPr="00067273" w:rsidRDefault="00AD68C8" w:rsidP="00194127">
      <w:pPr>
        <w:pStyle w:val="BodyText"/>
        <w:spacing w:after="0"/>
      </w:pPr>
      <w:r w:rsidRPr="00067273">
        <w:t>All other indications are considered experimental/investigational and not medically necessary.</w:t>
      </w:r>
    </w:p>
    <w:p w14:paraId="320DA3A6" w14:textId="77777777" w:rsidR="00456AF4" w:rsidRPr="00067273" w:rsidRDefault="00456AF4" w:rsidP="00456AF4">
      <w:pPr>
        <w:pStyle w:val="Heading2"/>
      </w:pPr>
      <w:r w:rsidRPr="00067273">
        <w:t>Documentation</w:t>
      </w:r>
    </w:p>
    <w:p w14:paraId="0F14F527" w14:textId="04106538" w:rsidR="00456AF4" w:rsidRDefault="00456AF4" w:rsidP="00456AF4">
      <w:pPr>
        <w:pStyle w:val="BodyText"/>
        <w:spacing w:after="0"/>
      </w:pPr>
      <w:r>
        <w:t>Submission of the following information is necessary to initiate the prior authorization review: Hormone receptor status testing results</w:t>
      </w:r>
      <w:r w:rsidR="755D8F68">
        <w:t xml:space="preserve"> (</w:t>
      </w:r>
      <w:r w:rsidR="489D5EA5">
        <w:t>where</w:t>
      </w:r>
      <w:r w:rsidR="755D8F68">
        <w:t xml:space="preserve"> applicable)</w:t>
      </w:r>
      <w:r>
        <w:t>.</w:t>
      </w:r>
    </w:p>
    <w:p w14:paraId="53FD45EC" w14:textId="4CEBD9F2" w:rsidR="00AD68C8" w:rsidRPr="00067273" w:rsidRDefault="00AD68C8" w:rsidP="00AD68C8">
      <w:pPr>
        <w:pStyle w:val="Heading2"/>
      </w:pPr>
      <w:r w:rsidRPr="00067273">
        <w:t>Exclusions</w:t>
      </w:r>
    </w:p>
    <w:p w14:paraId="0BBCCB2A" w14:textId="16195B8D" w:rsidR="00AD68C8" w:rsidRPr="00067273" w:rsidRDefault="00AD68C8" w:rsidP="00194127">
      <w:pPr>
        <w:pStyle w:val="BodyText"/>
        <w:spacing w:after="0"/>
      </w:pPr>
      <w:r w:rsidRPr="00067273">
        <w:t>Coverage will not be provided for members with any of the following exclusions: Use of the 10.8 mg strength for diagnoses other than prostate cancer, breast cancer, and gender dysphoria</w:t>
      </w:r>
      <w:r w:rsidR="002F2F84">
        <w:t>.</w:t>
      </w:r>
    </w:p>
    <w:p w14:paraId="20698A58" w14:textId="18DACA42" w:rsidR="00AD68C8" w:rsidRPr="00067273" w:rsidRDefault="00AD68C8" w:rsidP="00AD68C8">
      <w:pPr>
        <w:pStyle w:val="Heading2"/>
        <w:keepLines/>
        <w:widowControl w:val="0"/>
      </w:pPr>
      <w:r w:rsidRPr="00067273">
        <w:t>Prescriber Specialties</w:t>
      </w:r>
      <w:r w:rsidRPr="00FF3EB2">
        <w:rPr>
          <w:b w:val="0"/>
          <w:bCs w:val="0"/>
          <w:vertAlign w:val="superscript"/>
        </w:rPr>
        <w:t>13,14,1</w:t>
      </w:r>
      <w:r w:rsidR="00FA6DDF">
        <w:rPr>
          <w:b w:val="0"/>
          <w:bCs w:val="0"/>
          <w:vertAlign w:val="superscript"/>
        </w:rPr>
        <w:t>6</w:t>
      </w:r>
    </w:p>
    <w:p w14:paraId="22B6CCE5" w14:textId="14145D66" w:rsidR="00AD68C8" w:rsidRPr="00067273" w:rsidRDefault="00AD68C8" w:rsidP="00194127">
      <w:pPr>
        <w:pStyle w:val="Heading3"/>
        <w:keepNext w:val="0"/>
        <w:keepLines w:val="0"/>
        <w:widowControl w:val="0"/>
      </w:pPr>
      <w:r w:rsidRPr="00067273">
        <w:t xml:space="preserve">Gender </w:t>
      </w:r>
      <w:r w:rsidR="00E15E77" w:rsidRPr="00067273">
        <w:t>Dysphoria</w:t>
      </w:r>
    </w:p>
    <w:p w14:paraId="59DF24DD" w14:textId="77777777" w:rsidR="00AD68C8" w:rsidRPr="00067273" w:rsidRDefault="00AD68C8" w:rsidP="00194127">
      <w:pPr>
        <w:pStyle w:val="BodyText"/>
        <w:widowControl w:val="0"/>
      </w:pPr>
      <w:r w:rsidRPr="00067273">
        <w:t>The medication must be prescribed by or in consultation with a provider specialized in the care of transgender youth (e.g., pediatric endocrinologist, family or internal medicine physician, obstetrician-gynecologist) that has collaborated care with a mental health provider for members less than 18 years of age.</w:t>
      </w:r>
    </w:p>
    <w:p w14:paraId="771F9C02" w14:textId="32E45BCB" w:rsidR="00AD68C8" w:rsidRPr="00067273" w:rsidRDefault="00AD68C8" w:rsidP="00194127">
      <w:pPr>
        <w:pStyle w:val="Heading3"/>
        <w:keepNext w:val="0"/>
        <w:keepLines w:val="0"/>
        <w:widowControl w:val="0"/>
      </w:pPr>
      <w:r w:rsidRPr="00067273">
        <w:t xml:space="preserve">Prevention </w:t>
      </w:r>
      <w:r w:rsidR="00E15E77" w:rsidRPr="00067273">
        <w:t>of Recurrent Menstrual Related Attacks in Acute Porphyria</w:t>
      </w:r>
    </w:p>
    <w:p w14:paraId="58791F39" w14:textId="6CCB346A" w:rsidR="00AD68C8" w:rsidRPr="00067273" w:rsidRDefault="00AD68C8" w:rsidP="00194127">
      <w:pPr>
        <w:pStyle w:val="BodyText"/>
        <w:widowControl w:val="0"/>
      </w:pPr>
      <w:r w:rsidRPr="00067273">
        <w:lastRenderedPageBreak/>
        <w:t xml:space="preserve">The medication must be prescribed by or in consultation with a provider experienced in the management of </w:t>
      </w:r>
      <w:proofErr w:type="spellStart"/>
      <w:r w:rsidRPr="00067273">
        <w:t>porphyrias</w:t>
      </w:r>
      <w:proofErr w:type="spellEnd"/>
      <w:r w:rsidRPr="00067273">
        <w:t>.</w:t>
      </w:r>
    </w:p>
    <w:p w14:paraId="7DDAC4FC" w14:textId="2F70C803" w:rsidR="00016A2E" w:rsidRPr="00067273" w:rsidRDefault="00630269" w:rsidP="00194127">
      <w:pPr>
        <w:pStyle w:val="Heading2"/>
        <w:spacing w:before="360"/>
        <w:rPr>
          <w:rFonts w:eastAsia="Arial"/>
        </w:rPr>
      </w:pPr>
      <w:r w:rsidRPr="00067273">
        <w:rPr>
          <w:rFonts w:eastAsia="Arial"/>
        </w:rPr>
        <w:t xml:space="preserve">Coverage </w:t>
      </w:r>
      <w:r w:rsidR="005E2BF1" w:rsidRPr="00067273">
        <w:rPr>
          <w:rFonts w:eastAsia="Arial"/>
        </w:rPr>
        <w:t>Criteria</w:t>
      </w:r>
    </w:p>
    <w:p w14:paraId="6CB51749" w14:textId="7E3B3909" w:rsidR="00630269" w:rsidRPr="00067273" w:rsidRDefault="00630269" w:rsidP="00EF2704">
      <w:pPr>
        <w:pStyle w:val="Heading3"/>
        <w:widowControl w:val="0"/>
      </w:pPr>
      <w:r w:rsidRPr="00067273">
        <w:t xml:space="preserve">Breast </w:t>
      </w:r>
      <w:r w:rsidR="00EF2704" w:rsidRPr="00067273">
        <w:t>Cancer</w:t>
      </w:r>
      <w:r w:rsidR="00EF2704" w:rsidRPr="00067273">
        <w:rPr>
          <w:vertAlign w:val="superscript"/>
        </w:rPr>
        <w:t>1,3,8</w:t>
      </w:r>
    </w:p>
    <w:p w14:paraId="7A4B4A38" w14:textId="77777777" w:rsidR="00630269" w:rsidRPr="00067273" w:rsidRDefault="00630269" w:rsidP="00630269">
      <w:pPr>
        <w:pStyle w:val="BodyText"/>
      </w:pPr>
      <w:r w:rsidRPr="00067273">
        <w:t>Authorization of 12 months may be granted for the treatment of hormone receptor-positive breast cancer.</w:t>
      </w:r>
    </w:p>
    <w:p w14:paraId="70643042" w14:textId="2EA3FED3" w:rsidR="00630269" w:rsidRPr="00067273" w:rsidRDefault="00630269" w:rsidP="00EF2704">
      <w:pPr>
        <w:pStyle w:val="Heading3"/>
        <w:widowControl w:val="0"/>
      </w:pPr>
      <w:r w:rsidRPr="00067273">
        <w:t xml:space="preserve">Prostate </w:t>
      </w:r>
      <w:r w:rsidR="00E15E77" w:rsidRPr="00067273">
        <w:t>Cancer</w:t>
      </w:r>
      <w:r w:rsidR="00E15E77" w:rsidRPr="00067273">
        <w:rPr>
          <w:vertAlign w:val="superscript"/>
        </w:rPr>
        <w:t>1-3</w:t>
      </w:r>
    </w:p>
    <w:p w14:paraId="4E9C43EB" w14:textId="77777777" w:rsidR="00630269" w:rsidRPr="00067273" w:rsidRDefault="00630269" w:rsidP="00E15E77">
      <w:pPr>
        <w:pStyle w:val="BodyText"/>
      </w:pPr>
      <w:r w:rsidRPr="00067273">
        <w:t>Authorization of 12 months may be granted for treatment of prostate cancer.</w:t>
      </w:r>
    </w:p>
    <w:p w14:paraId="33609876" w14:textId="51F1341F" w:rsidR="00630269" w:rsidRPr="0026166B" w:rsidRDefault="00EF2704" w:rsidP="00EF2704">
      <w:pPr>
        <w:pStyle w:val="Heading3"/>
        <w:widowControl w:val="0"/>
        <w:rPr>
          <w:vertAlign w:val="superscript"/>
        </w:rPr>
      </w:pPr>
      <w:r w:rsidRPr="0026166B">
        <w:t>Ovarian</w:t>
      </w:r>
      <w:r w:rsidR="00B4396E" w:rsidRPr="0026166B">
        <w:t xml:space="preserve"> Cancer</w:t>
      </w:r>
      <w:r w:rsidR="00A04333" w:rsidRPr="0026166B">
        <w:rPr>
          <w:vertAlign w:val="superscript"/>
        </w:rPr>
        <w:t>3,</w:t>
      </w:r>
      <w:r w:rsidR="00A04333">
        <w:rPr>
          <w:vertAlign w:val="superscript"/>
        </w:rPr>
        <w:t>17</w:t>
      </w:r>
    </w:p>
    <w:p w14:paraId="1BC5A848" w14:textId="5572B37B" w:rsidR="00630269" w:rsidRPr="00067273" w:rsidRDefault="00630269" w:rsidP="00630269">
      <w:pPr>
        <w:pStyle w:val="BodyText"/>
      </w:pPr>
      <w:r w:rsidRPr="00067273">
        <w:t xml:space="preserve">Authorization of 12 months may be granted </w:t>
      </w:r>
      <w:r w:rsidR="00A818AB">
        <w:t xml:space="preserve">as a single agent </w:t>
      </w:r>
      <w:r w:rsidRPr="00067273">
        <w:t>for treatment of persistent or recurrent epithelial ovarian, fallopian tube, primary peritoneal cancer</w:t>
      </w:r>
      <w:r w:rsidR="00EB0B2A">
        <w:t>,</w:t>
      </w:r>
      <w:r w:rsidRPr="00067273">
        <w:t xml:space="preserve"> malignant sex cord-stromal tumor</w:t>
      </w:r>
      <w:r w:rsidR="00EB0B2A">
        <w:t>,</w:t>
      </w:r>
      <w:r w:rsidR="00D63F6B">
        <w:t xml:space="preserve"> </w:t>
      </w:r>
      <w:r w:rsidR="00334451" w:rsidRPr="0026166B">
        <w:t>carcinosarcoma (</w:t>
      </w:r>
      <w:r w:rsidR="00D63F6B" w:rsidRPr="0026166B">
        <w:t>malignant</w:t>
      </w:r>
      <w:r w:rsidR="00334451" w:rsidRPr="0026166B">
        <w:t xml:space="preserve"> mixed</w:t>
      </w:r>
      <w:r w:rsidR="00D63F6B" w:rsidRPr="0026166B">
        <w:t xml:space="preserve"> </w:t>
      </w:r>
      <w:r w:rsidR="00334451" w:rsidRPr="0026166B">
        <w:t>M</w:t>
      </w:r>
      <w:r w:rsidR="00D63F6B" w:rsidRPr="0026166B">
        <w:t>ullerian</w:t>
      </w:r>
      <w:r w:rsidR="00E07B26" w:rsidRPr="0026166B">
        <w:t xml:space="preserve"> tumor</w:t>
      </w:r>
      <w:r w:rsidR="00334451" w:rsidRPr="0026166B">
        <w:t>), clear cell carcinoma</w:t>
      </w:r>
      <w:r w:rsidR="005302FF" w:rsidRPr="0026166B">
        <w:t xml:space="preserve"> of the ovary, mucinous carcinoma of the ovary, grade 1 endometrioid carcinoma</w:t>
      </w:r>
      <w:r w:rsidR="00570A4D" w:rsidRPr="0026166B">
        <w:t xml:space="preserve"> and </w:t>
      </w:r>
      <w:proofErr w:type="gramStart"/>
      <w:r w:rsidR="00570A4D" w:rsidRPr="0026166B">
        <w:t>low grade</w:t>
      </w:r>
      <w:proofErr w:type="gramEnd"/>
      <w:r w:rsidR="00570A4D" w:rsidRPr="0026166B">
        <w:t xml:space="preserve"> serous</w:t>
      </w:r>
      <w:r w:rsidR="00D63F6B" w:rsidRPr="0026166B">
        <w:t xml:space="preserve"> </w:t>
      </w:r>
      <w:r w:rsidR="00CF5AF1" w:rsidRPr="0026166B">
        <w:t>carcinoma</w:t>
      </w:r>
      <w:r w:rsidRPr="0026166B">
        <w:t>.</w:t>
      </w:r>
    </w:p>
    <w:p w14:paraId="05BEA3A3" w14:textId="4379E54D" w:rsidR="00630269" w:rsidRPr="00067273" w:rsidRDefault="00630269" w:rsidP="00EF2704">
      <w:pPr>
        <w:pStyle w:val="Heading3"/>
        <w:widowControl w:val="0"/>
      </w:pPr>
      <w:r w:rsidRPr="00067273">
        <w:t>Endometriosis</w:t>
      </w:r>
      <w:r w:rsidRPr="00067273">
        <w:rPr>
          <w:vertAlign w:val="superscript"/>
        </w:rPr>
        <w:t>1</w:t>
      </w:r>
    </w:p>
    <w:p w14:paraId="7D984508" w14:textId="77777777" w:rsidR="00630269" w:rsidRPr="00067273" w:rsidRDefault="00630269" w:rsidP="00630269">
      <w:pPr>
        <w:pStyle w:val="BodyText"/>
      </w:pPr>
      <w:r w:rsidRPr="00067273">
        <w:t>Authorization of a total of 6 months may be granted to members for treatment of endometriosis.</w:t>
      </w:r>
    </w:p>
    <w:p w14:paraId="0AC11526" w14:textId="79157776" w:rsidR="00630269" w:rsidRPr="00067273" w:rsidRDefault="00630269" w:rsidP="00BC25D3">
      <w:pPr>
        <w:pStyle w:val="Heading3"/>
        <w:widowControl w:val="0"/>
      </w:pPr>
      <w:r w:rsidRPr="00067273">
        <w:t>Endometrial</w:t>
      </w:r>
      <w:r w:rsidR="00EF2704" w:rsidRPr="00067273">
        <w:t>-Thinning Agent</w:t>
      </w:r>
      <w:r w:rsidR="00EF2704" w:rsidRPr="00067273">
        <w:rPr>
          <w:vertAlign w:val="superscript"/>
        </w:rPr>
        <w:t>1,4</w:t>
      </w:r>
    </w:p>
    <w:p w14:paraId="2C551771" w14:textId="0F38EBCB" w:rsidR="00630269" w:rsidRPr="00067273" w:rsidRDefault="00630269" w:rsidP="00EF2704">
      <w:pPr>
        <w:pStyle w:val="BodyText"/>
      </w:pPr>
      <w:r w:rsidRPr="00067273">
        <w:t>Authorization of 2 doses may be granted for endometrial thinning prior to endometrial ablation or resection for dysfunctional uterine bleeding.</w:t>
      </w:r>
    </w:p>
    <w:p w14:paraId="57710C36" w14:textId="7C6C2C2F" w:rsidR="00630269" w:rsidRPr="00067273" w:rsidRDefault="00630269" w:rsidP="00EF2704">
      <w:pPr>
        <w:pStyle w:val="BodyText"/>
      </w:pPr>
      <w:r w:rsidRPr="00067273">
        <w:t>Authorization of a total of 6 months may be granted for treatment of chronic anovulatory uterine bleeding with severe anemia.</w:t>
      </w:r>
    </w:p>
    <w:p w14:paraId="215A5971" w14:textId="0E03A4AD" w:rsidR="00630269" w:rsidRPr="00067273" w:rsidRDefault="00630269" w:rsidP="00EF2704">
      <w:pPr>
        <w:pStyle w:val="Heading3"/>
        <w:widowControl w:val="0"/>
      </w:pPr>
      <w:r w:rsidRPr="00067273">
        <w:t xml:space="preserve">Gender </w:t>
      </w:r>
      <w:r w:rsidR="00EF2704" w:rsidRPr="00067273">
        <w:t>Dysphoria</w:t>
      </w:r>
      <w:r w:rsidR="00EF2704" w:rsidRPr="00067273">
        <w:rPr>
          <w:vertAlign w:val="superscript"/>
        </w:rPr>
        <w:t>4-7</w:t>
      </w:r>
    </w:p>
    <w:p w14:paraId="22260EFB" w14:textId="3B63E317" w:rsidR="00630269" w:rsidRPr="00067273" w:rsidRDefault="00630269" w:rsidP="00EF2704">
      <w:pPr>
        <w:pStyle w:val="BodyText"/>
      </w:pPr>
      <w:r w:rsidRPr="00067273">
        <w:t xml:space="preserve">Authorization of 12 months may be granted for pubertal hormonal suppression in an adolescent member when </w:t>
      </w:r>
      <w:proofErr w:type="gramStart"/>
      <w:r w:rsidRPr="00067273">
        <w:t>all of</w:t>
      </w:r>
      <w:proofErr w:type="gramEnd"/>
      <w:r w:rsidRPr="00067273">
        <w:t xml:space="preserve"> the following criteria are met:</w:t>
      </w:r>
    </w:p>
    <w:p w14:paraId="29197F3D" w14:textId="401324B1" w:rsidR="00630269" w:rsidRPr="00067273" w:rsidRDefault="00630269" w:rsidP="00FC2F64">
      <w:pPr>
        <w:pStyle w:val="ListParagraph"/>
        <w:numPr>
          <w:ilvl w:val="0"/>
          <w:numId w:val="23"/>
        </w:numPr>
      </w:pPr>
      <w:r w:rsidRPr="00067273">
        <w:t>The member has a diagnosis of gender dysphoria.</w:t>
      </w:r>
    </w:p>
    <w:p w14:paraId="523308A6" w14:textId="708EEF79" w:rsidR="00630269" w:rsidRPr="00067273" w:rsidRDefault="00630269" w:rsidP="00FC2F64">
      <w:pPr>
        <w:pStyle w:val="ListParagraph"/>
        <w:numPr>
          <w:ilvl w:val="0"/>
          <w:numId w:val="23"/>
        </w:numPr>
      </w:pPr>
      <w:r w:rsidRPr="00067273">
        <w:t xml:space="preserve">The member </w:t>
      </w:r>
      <w:proofErr w:type="gramStart"/>
      <w:r w:rsidRPr="00067273">
        <w:t>is able to</w:t>
      </w:r>
      <w:proofErr w:type="gramEnd"/>
      <w:r w:rsidRPr="00067273">
        <w:t xml:space="preserve"> make an informed decision to engage in treatment.</w:t>
      </w:r>
    </w:p>
    <w:p w14:paraId="0ADF98B5" w14:textId="4DB0E7FC" w:rsidR="00630269" w:rsidRPr="00067273" w:rsidRDefault="00630269" w:rsidP="00FC2F64">
      <w:pPr>
        <w:pStyle w:val="ListParagraph"/>
        <w:numPr>
          <w:ilvl w:val="0"/>
          <w:numId w:val="23"/>
        </w:numPr>
      </w:pPr>
      <w:r w:rsidRPr="00067273">
        <w:t>The member has reached Tanner stage 2 of puberty or greater.</w:t>
      </w:r>
    </w:p>
    <w:p w14:paraId="3EF20769" w14:textId="4793A09A" w:rsidR="00630269" w:rsidRPr="00067273" w:rsidRDefault="00630269" w:rsidP="00FC2F64">
      <w:pPr>
        <w:pStyle w:val="ListParagraph"/>
        <w:numPr>
          <w:ilvl w:val="0"/>
          <w:numId w:val="23"/>
        </w:numPr>
      </w:pPr>
      <w:r w:rsidRPr="00067273">
        <w:t>The member’s comorbid conditions are reasonably controlled.</w:t>
      </w:r>
    </w:p>
    <w:p w14:paraId="66130EB3" w14:textId="4EE1B7AB" w:rsidR="00630269" w:rsidRPr="00067273" w:rsidRDefault="00630269" w:rsidP="00FC2F64">
      <w:pPr>
        <w:pStyle w:val="ListParagraph"/>
        <w:numPr>
          <w:ilvl w:val="0"/>
          <w:numId w:val="23"/>
        </w:numPr>
      </w:pPr>
      <w:r w:rsidRPr="00067273">
        <w:t>The member has been educated on any contraindications and side effects to therapy.</w:t>
      </w:r>
    </w:p>
    <w:p w14:paraId="0427D4C7" w14:textId="38325B60" w:rsidR="00630269" w:rsidRPr="00067273" w:rsidRDefault="00630269" w:rsidP="00FC2F64">
      <w:pPr>
        <w:pStyle w:val="ListParagraph"/>
        <w:numPr>
          <w:ilvl w:val="0"/>
          <w:numId w:val="23"/>
        </w:numPr>
        <w:spacing w:after="120"/>
      </w:pPr>
      <w:r w:rsidRPr="00067273">
        <w:lastRenderedPageBreak/>
        <w:t>The member has been informed of fertility preservation options.</w:t>
      </w:r>
    </w:p>
    <w:p w14:paraId="071A916A" w14:textId="7946208F" w:rsidR="00630269" w:rsidRPr="00067273" w:rsidRDefault="00630269" w:rsidP="00EF2704">
      <w:pPr>
        <w:pStyle w:val="BodyText"/>
      </w:pPr>
      <w:r w:rsidRPr="00067273">
        <w:t xml:space="preserve">Authorization of 12 months may be granted for gender transition when </w:t>
      </w:r>
      <w:proofErr w:type="gramStart"/>
      <w:r w:rsidRPr="00067273">
        <w:t>all of</w:t>
      </w:r>
      <w:proofErr w:type="gramEnd"/>
      <w:r w:rsidRPr="00067273">
        <w:t xml:space="preserve"> the following criteria are met:</w:t>
      </w:r>
    </w:p>
    <w:p w14:paraId="21494F0D" w14:textId="4ECC559E" w:rsidR="00630269" w:rsidRPr="00067273" w:rsidRDefault="00630269" w:rsidP="00FC2F64">
      <w:pPr>
        <w:pStyle w:val="ListParagraph"/>
        <w:numPr>
          <w:ilvl w:val="0"/>
          <w:numId w:val="24"/>
        </w:numPr>
      </w:pPr>
      <w:r w:rsidRPr="00067273">
        <w:t>The member has a diagnosis of gender dysphoria.</w:t>
      </w:r>
    </w:p>
    <w:p w14:paraId="146A5A66" w14:textId="6A0EB238" w:rsidR="00630269" w:rsidRPr="00067273" w:rsidRDefault="00630269" w:rsidP="00FC2F64">
      <w:pPr>
        <w:pStyle w:val="ListParagraph"/>
        <w:numPr>
          <w:ilvl w:val="0"/>
          <w:numId w:val="24"/>
        </w:numPr>
      </w:pPr>
      <w:r w:rsidRPr="00067273">
        <w:t xml:space="preserve">The member </w:t>
      </w:r>
      <w:proofErr w:type="gramStart"/>
      <w:r w:rsidRPr="00067273">
        <w:t>is able to</w:t>
      </w:r>
      <w:proofErr w:type="gramEnd"/>
      <w:r w:rsidRPr="00067273">
        <w:t xml:space="preserve"> make an informed decision to engage in treatment.</w:t>
      </w:r>
    </w:p>
    <w:p w14:paraId="4F1AC921" w14:textId="3B95B7EF" w:rsidR="00630269" w:rsidRPr="00067273" w:rsidRDefault="00630269" w:rsidP="00FC2F64">
      <w:pPr>
        <w:pStyle w:val="ListParagraph"/>
        <w:numPr>
          <w:ilvl w:val="0"/>
          <w:numId w:val="24"/>
        </w:numPr>
      </w:pPr>
      <w:r w:rsidRPr="00067273">
        <w:t>The member will receive the requested medication concomitantly with gender-affirming hormones.</w:t>
      </w:r>
    </w:p>
    <w:p w14:paraId="51A2DB2B" w14:textId="53F1E7A6" w:rsidR="00630269" w:rsidRPr="00067273" w:rsidRDefault="00630269" w:rsidP="00FC2F64">
      <w:pPr>
        <w:pStyle w:val="ListParagraph"/>
        <w:numPr>
          <w:ilvl w:val="0"/>
          <w:numId w:val="24"/>
        </w:numPr>
      </w:pPr>
      <w:r w:rsidRPr="00067273">
        <w:t>The member’s comorbid conditions are reasonably controlled.</w:t>
      </w:r>
    </w:p>
    <w:p w14:paraId="6FBED4D7" w14:textId="14B82C4B" w:rsidR="00630269" w:rsidRPr="00067273" w:rsidRDefault="00630269" w:rsidP="00FC2F64">
      <w:pPr>
        <w:pStyle w:val="ListParagraph"/>
        <w:numPr>
          <w:ilvl w:val="0"/>
          <w:numId w:val="24"/>
        </w:numPr>
      </w:pPr>
      <w:r w:rsidRPr="00067273">
        <w:t>The member has been educated on any contraindications and side effects to therapy.</w:t>
      </w:r>
    </w:p>
    <w:p w14:paraId="06F81C3E" w14:textId="4D4A3168" w:rsidR="00630269" w:rsidRPr="00067273" w:rsidRDefault="00630269" w:rsidP="00FC2F64">
      <w:pPr>
        <w:pStyle w:val="ListParagraph"/>
        <w:numPr>
          <w:ilvl w:val="0"/>
          <w:numId w:val="24"/>
        </w:numPr>
      </w:pPr>
      <w:r w:rsidRPr="00067273">
        <w:t>The member has been informed of fertility preservation options.</w:t>
      </w:r>
    </w:p>
    <w:p w14:paraId="3F7D1092" w14:textId="17D5CC70" w:rsidR="00630269" w:rsidRPr="00067273" w:rsidRDefault="00630269" w:rsidP="00EF2704">
      <w:pPr>
        <w:pStyle w:val="Heading3"/>
        <w:widowControl w:val="0"/>
      </w:pPr>
      <w:r w:rsidRPr="00067273">
        <w:t xml:space="preserve">Preservation </w:t>
      </w:r>
      <w:r w:rsidR="00EF2704" w:rsidRPr="00067273">
        <w:t>of Ovarian Function</w:t>
      </w:r>
      <w:r w:rsidR="00EF2704" w:rsidRPr="00067273">
        <w:rPr>
          <w:vertAlign w:val="superscript"/>
        </w:rPr>
        <w:t>4,9-12</w:t>
      </w:r>
    </w:p>
    <w:p w14:paraId="3BF17466" w14:textId="77777777" w:rsidR="00630269" w:rsidRPr="00067273" w:rsidRDefault="00630269" w:rsidP="00630269">
      <w:pPr>
        <w:pStyle w:val="BodyText"/>
      </w:pPr>
      <w:r w:rsidRPr="00067273">
        <w:t>Authorization of 3 months may be granted for preservation of ovarian function when the member is premenopausal and undergoing chemotherapy.</w:t>
      </w:r>
    </w:p>
    <w:p w14:paraId="025D9D57" w14:textId="68B49BE0" w:rsidR="00630269" w:rsidRPr="00067273" w:rsidRDefault="00630269" w:rsidP="00EF2704">
      <w:pPr>
        <w:pStyle w:val="Heading3"/>
        <w:widowControl w:val="0"/>
      </w:pPr>
      <w:r w:rsidRPr="00067273">
        <w:t xml:space="preserve">Prevention </w:t>
      </w:r>
      <w:r w:rsidR="00EF2704" w:rsidRPr="00067273">
        <w:t xml:space="preserve">of Recurrent Menstrual Related Attacks </w:t>
      </w:r>
      <w:r w:rsidR="00263F1D" w:rsidRPr="00067273">
        <w:t>i</w:t>
      </w:r>
      <w:r w:rsidR="00EF2704" w:rsidRPr="00067273">
        <w:t>n Acute Porphyria</w:t>
      </w:r>
      <w:r w:rsidR="00EF2704" w:rsidRPr="00067273">
        <w:rPr>
          <w:vertAlign w:val="superscript"/>
        </w:rPr>
        <w:t>13,14</w:t>
      </w:r>
    </w:p>
    <w:p w14:paraId="7D61E987" w14:textId="5C69BD2A" w:rsidR="00630269" w:rsidRDefault="00630269" w:rsidP="00630269">
      <w:pPr>
        <w:pStyle w:val="BodyText"/>
      </w:pPr>
      <w:r w:rsidRPr="00067273">
        <w:t>Authorization of 12 months may be granted for prevention of recurrent menstrual related attacks in members with acute porphyria.</w:t>
      </w:r>
    </w:p>
    <w:p w14:paraId="0AA3B6A3" w14:textId="3CF51413" w:rsidR="00A37B5C" w:rsidRPr="0026166B" w:rsidRDefault="00A37B5C" w:rsidP="00A37B5C">
      <w:pPr>
        <w:pStyle w:val="Heading3"/>
        <w:rPr>
          <w:vertAlign w:val="superscript"/>
        </w:rPr>
      </w:pPr>
      <w:r w:rsidRPr="0026166B">
        <w:t>Salivary Gland Tumors</w:t>
      </w:r>
      <w:r w:rsidR="00912B75" w:rsidRPr="0026166B">
        <w:rPr>
          <w:vertAlign w:val="superscript"/>
        </w:rPr>
        <w:t>1</w:t>
      </w:r>
      <w:r w:rsidR="00060E49" w:rsidRPr="0026166B">
        <w:rPr>
          <w:vertAlign w:val="superscript"/>
        </w:rPr>
        <w:t>8</w:t>
      </w:r>
    </w:p>
    <w:p w14:paraId="635F85C2" w14:textId="3F1B7E59" w:rsidR="00A37B5C" w:rsidRPr="0026166B" w:rsidRDefault="00A37B5C" w:rsidP="00A37B5C">
      <w:pPr>
        <w:pStyle w:val="BodyText"/>
      </w:pPr>
      <w:r w:rsidRPr="0026166B">
        <w:t>Authorization of 1</w:t>
      </w:r>
      <w:r w:rsidR="00D33845" w:rsidRPr="0026166B">
        <w:t xml:space="preserve">2 months maybe be granted </w:t>
      </w:r>
      <w:r w:rsidR="009774E6" w:rsidRPr="0026166B">
        <w:t>for treatment of recurrent, unresectable, or metastatic saliv</w:t>
      </w:r>
      <w:r w:rsidR="00903DA5" w:rsidRPr="0026166B">
        <w:t>a</w:t>
      </w:r>
      <w:r w:rsidR="009774E6" w:rsidRPr="0026166B">
        <w:t>ry gland tumor</w:t>
      </w:r>
      <w:r w:rsidR="00903DA5" w:rsidRPr="0026166B">
        <w:t xml:space="preserve"> as a single agent</w:t>
      </w:r>
      <w:r w:rsidR="00347EC3" w:rsidRPr="0026166B">
        <w:t xml:space="preserve"> or</w:t>
      </w:r>
      <w:r w:rsidR="00D33845" w:rsidRPr="0026166B">
        <w:t xml:space="preserve"> in combination with abiraterone</w:t>
      </w:r>
      <w:r w:rsidR="00592393" w:rsidRPr="0026166B">
        <w:t xml:space="preserve"> </w:t>
      </w:r>
      <w:r w:rsidR="00347EC3" w:rsidRPr="0026166B">
        <w:t>and</w:t>
      </w:r>
      <w:r w:rsidR="00592393" w:rsidRPr="0026166B">
        <w:t xml:space="preserve"> prednisone </w:t>
      </w:r>
      <w:r w:rsidR="00347EC3" w:rsidRPr="0026166B">
        <w:t xml:space="preserve">when the tumor is </w:t>
      </w:r>
      <w:r w:rsidR="00592393" w:rsidRPr="0026166B">
        <w:t>androgen receptor positive</w:t>
      </w:r>
      <w:r w:rsidR="00347EC3" w:rsidRPr="0026166B">
        <w:t>.</w:t>
      </w:r>
    </w:p>
    <w:p w14:paraId="1C4AE8C4" w14:textId="0F081C60" w:rsidR="00347EC3" w:rsidRPr="0026166B" w:rsidRDefault="00BD11C3" w:rsidP="00347EC3">
      <w:pPr>
        <w:pStyle w:val="Heading3"/>
        <w:rPr>
          <w:vertAlign w:val="superscript"/>
        </w:rPr>
      </w:pPr>
      <w:r w:rsidRPr="0026166B">
        <w:t>Uterine Sarcoma</w:t>
      </w:r>
      <w:r w:rsidR="00060E49" w:rsidRPr="0026166B">
        <w:rPr>
          <w:vertAlign w:val="superscript"/>
        </w:rPr>
        <w:t>3</w:t>
      </w:r>
    </w:p>
    <w:p w14:paraId="3ADE95D8" w14:textId="1DF1D14D" w:rsidR="0094664F" w:rsidRPr="0094664F" w:rsidRDefault="0094664F" w:rsidP="0094664F">
      <w:pPr>
        <w:pStyle w:val="BodyText"/>
      </w:pPr>
      <w:r w:rsidRPr="0026166B">
        <w:t>Auth</w:t>
      </w:r>
      <w:r w:rsidR="00381D03" w:rsidRPr="0026166B">
        <w:t>orization of 12 months</w:t>
      </w:r>
      <w:r w:rsidR="00F525F2" w:rsidRPr="0026166B">
        <w:t xml:space="preserve"> maybe granted for treatment </w:t>
      </w:r>
      <w:r w:rsidR="00932100" w:rsidRPr="0026166B">
        <w:t>of uterine sarcoma in combination with an aromatase inhibitor (e.g., anastrozole, letrozole, exemestane) when the member is premenopausal and not suitable for surgery.</w:t>
      </w:r>
    </w:p>
    <w:p w14:paraId="3A643EC3" w14:textId="2E569936" w:rsidR="00A501AC" w:rsidRPr="00067273" w:rsidRDefault="00A501AC" w:rsidP="00194127">
      <w:pPr>
        <w:pStyle w:val="Heading2"/>
        <w:spacing w:before="360"/>
      </w:pPr>
      <w:r w:rsidRPr="00067273">
        <w:t>Continuation of Therapy</w:t>
      </w:r>
    </w:p>
    <w:p w14:paraId="79D6AA27" w14:textId="78FFC939" w:rsidR="00CD1734" w:rsidRPr="00067273" w:rsidRDefault="00CD1734" w:rsidP="00CD1734">
      <w:pPr>
        <w:pStyle w:val="Heading3"/>
      </w:pPr>
      <w:r w:rsidRPr="00067273">
        <w:t xml:space="preserve">Breast </w:t>
      </w:r>
      <w:r w:rsidR="00263F1D" w:rsidRPr="00067273">
        <w:t>Cancer and Ovarian Cancer</w:t>
      </w:r>
      <w:r w:rsidR="00263F1D" w:rsidRPr="00067273">
        <w:rPr>
          <w:vertAlign w:val="superscript"/>
        </w:rPr>
        <w:t>1,3,8</w:t>
      </w:r>
      <w:r w:rsidR="00B719DF">
        <w:rPr>
          <w:vertAlign w:val="superscript"/>
        </w:rPr>
        <w:t>,17</w:t>
      </w:r>
    </w:p>
    <w:p w14:paraId="3B4A9C05" w14:textId="77777777" w:rsidR="00CD1734" w:rsidRPr="00067273" w:rsidRDefault="00CD1734" w:rsidP="00CD1734">
      <w:pPr>
        <w:pStyle w:val="BodyText"/>
      </w:pPr>
      <w:r w:rsidRPr="00067273">
        <w:t xml:space="preserve">Authorization of 12 months may be granted for continued treatment in members requesting reauthorization who are experiencing clinical benefit to therapy and who have not experienced an unacceptable toxicity. </w:t>
      </w:r>
    </w:p>
    <w:p w14:paraId="7950DDED" w14:textId="717713BC" w:rsidR="00CD1734" w:rsidRPr="00067273" w:rsidRDefault="00CD1734" w:rsidP="00CD1734">
      <w:pPr>
        <w:pStyle w:val="Heading3"/>
      </w:pPr>
      <w:r w:rsidRPr="00067273">
        <w:lastRenderedPageBreak/>
        <w:t xml:space="preserve">Prostate </w:t>
      </w:r>
      <w:r w:rsidR="00263F1D" w:rsidRPr="00067273">
        <w:t>Cancer</w:t>
      </w:r>
      <w:r w:rsidR="00263F1D" w:rsidRPr="00067273">
        <w:rPr>
          <w:vertAlign w:val="superscript"/>
        </w:rPr>
        <w:t>1-3</w:t>
      </w:r>
    </w:p>
    <w:p w14:paraId="2E5EC5CF" w14:textId="77777777" w:rsidR="00CD1734" w:rsidRPr="00067273" w:rsidRDefault="00CD1734" w:rsidP="00CD1734">
      <w:pPr>
        <w:pStyle w:val="BodyText"/>
      </w:pPr>
      <w:r w:rsidRPr="00067273">
        <w:t>Authorization of 12 months may be granted for continued treatment in members requesting reauthorization who are experiencing clinical benefit to therapy (e.g., serum testosterone less than 50 ng/dL) and who have not experienced an unacceptable toxicity.</w:t>
      </w:r>
    </w:p>
    <w:p w14:paraId="55CA1A22" w14:textId="43FBC15B" w:rsidR="00CD1734" w:rsidRPr="00067273" w:rsidRDefault="00CD1734" w:rsidP="00CD1734">
      <w:pPr>
        <w:pStyle w:val="Heading3"/>
      </w:pPr>
      <w:r w:rsidRPr="00067273">
        <w:t xml:space="preserve">Gender </w:t>
      </w:r>
      <w:r w:rsidR="00263F1D" w:rsidRPr="00067273">
        <w:t>Dysphoria</w:t>
      </w:r>
      <w:r w:rsidR="00263F1D" w:rsidRPr="00067273">
        <w:rPr>
          <w:vertAlign w:val="superscript"/>
        </w:rPr>
        <w:t>1</w:t>
      </w:r>
      <w:r w:rsidR="00FA6DDF">
        <w:rPr>
          <w:vertAlign w:val="superscript"/>
        </w:rPr>
        <w:t>5</w:t>
      </w:r>
    </w:p>
    <w:p w14:paraId="45597BB8" w14:textId="3D69DF7D" w:rsidR="00CD1734" w:rsidRPr="00067273" w:rsidRDefault="00CD1734" w:rsidP="00263F1D">
      <w:pPr>
        <w:pStyle w:val="BodyText"/>
      </w:pPr>
      <w:r w:rsidRPr="00067273">
        <w:t xml:space="preserve">Authorization of 12 months may be granted for continued treatment for pubertal hormonal suppression in adolescent members requesting reauthorization when </w:t>
      </w:r>
      <w:proofErr w:type="gramStart"/>
      <w:r w:rsidRPr="00067273">
        <w:t>all of</w:t>
      </w:r>
      <w:proofErr w:type="gramEnd"/>
      <w:r w:rsidRPr="00067273">
        <w:t xml:space="preserve"> the following criteria are met:</w:t>
      </w:r>
    </w:p>
    <w:p w14:paraId="14EC14DE" w14:textId="3EFE9ED4" w:rsidR="00CD1734" w:rsidRPr="00067273" w:rsidRDefault="00CD1734" w:rsidP="00FC2F64">
      <w:pPr>
        <w:pStyle w:val="ListParagraph"/>
        <w:numPr>
          <w:ilvl w:val="0"/>
          <w:numId w:val="25"/>
        </w:numPr>
      </w:pPr>
      <w:r w:rsidRPr="00067273">
        <w:t>The member has a diagnosis of gender dysphoria.</w:t>
      </w:r>
    </w:p>
    <w:p w14:paraId="3FE94604" w14:textId="372A67F5" w:rsidR="00CD1734" w:rsidRPr="00067273" w:rsidRDefault="00CD1734" w:rsidP="00FC2F64">
      <w:pPr>
        <w:pStyle w:val="ListParagraph"/>
        <w:numPr>
          <w:ilvl w:val="0"/>
          <w:numId w:val="25"/>
        </w:numPr>
      </w:pPr>
      <w:r w:rsidRPr="00067273">
        <w:t xml:space="preserve">The member </w:t>
      </w:r>
      <w:proofErr w:type="gramStart"/>
      <w:r w:rsidRPr="00067273">
        <w:t>is able to</w:t>
      </w:r>
      <w:proofErr w:type="gramEnd"/>
      <w:r w:rsidRPr="00067273">
        <w:t xml:space="preserve"> make an informed decision to engage in treatment.</w:t>
      </w:r>
    </w:p>
    <w:p w14:paraId="732FD839" w14:textId="77786102" w:rsidR="00CD1734" w:rsidRPr="00067273" w:rsidRDefault="00CD1734" w:rsidP="00FC2F64">
      <w:pPr>
        <w:pStyle w:val="ListParagraph"/>
        <w:numPr>
          <w:ilvl w:val="0"/>
          <w:numId w:val="25"/>
        </w:numPr>
      </w:pPr>
      <w:r w:rsidRPr="00067273">
        <w:t>The member has previously reached Tanner stage 2 of puberty or greater.</w:t>
      </w:r>
    </w:p>
    <w:p w14:paraId="0D86FB92" w14:textId="3A0899CA" w:rsidR="00CD1734" w:rsidRPr="00067273" w:rsidRDefault="00CD1734" w:rsidP="00FC2F64">
      <w:pPr>
        <w:pStyle w:val="ListParagraph"/>
        <w:numPr>
          <w:ilvl w:val="0"/>
          <w:numId w:val="25"/>
        </w:numPr>
      </w:pPr>
      <w:r w:rsidRPr="00067273">
        <w:t>The member’s comorbid conditions are reasonably controlled.</w:t>
      </w:r>
    </w:p>
    <w:p w14:paraId="0E6DC312" w14:textId="35A8CEC6" w:rsidR="00CD1734" w:rsidRPr="00067273" w:rsidRDefault="00CD1734" w:rsidP="00FC2F64">
      <w:pPr>
        <w:pStyle w:val="ListParagraph"/>
        <w:numPr>
          <w:ilvl w:val="0"/>
          <w:numId w:val="25"/>
        </w:numPr>
      </w:pPr>
      <w:r w:rsidRPr="00067273">
        <w:t>The member has been educated on any contraindications and side effects to therapy.</w:t>
      </w:r>
    </w:p>
    <w:p w14:paraId="23E13167" w14:textId="13CFF48A" w:rsidR="00CD1734" w:rsidRPr="00067273" w:rsidRDefault="00CD1734" w:rsidP="00FC2F64">
      <w:pPr>
        <w:pStyle w:val="ListParagraph"/>
        <w:numPr>
          <w:ilvl w:val="0"/>
          <w:numId w:val="25"/>
        </w:numPr>
        <w:spacing w:after="120"/>
      </w:pPr>
      <w:r w:rsidRPr="00067273">
        <w:t>Before the start of therapy, the member has been informed of fertility preservation options.</w:t>
      </w:r>
    </w:p>
    <w:p w14:paraId="1131082C" w14:textId="0D94122B" w:rsidR="00CD1734" w:rsidRPr="00067273" w:rsidRDefault="00CD1734" w:rsidP="00263F1D">
      <w:pPr>
        <w:pStyle w:val="BodyText"/>
      </w:pPr>
      <w:r w:rsidRPr="00067273">
        <w:t xml:space="preserve">Authorization of 12 months may be granted for continued treatment for gender transition in members requesting reauthorization when </w:t>
      </w:r>
      <w:proofErr w:type="gramStart"/>
      <w:r w:rsidRPr="00067273">
        <w:t>all of</w:t>
      </w:r>
      <w:proofErr w:type="gramEnd"/>
      <w:r w:rsidRPr="00067273">
        <w:t xml:space="preserve"> the following criteria are met:</w:t>
      </w:r>
    </w:p>
    <w:p w14:paraId="21134BF7" w14:textId="5EFCDD9B" w:rsidR="00CD1734" w:rsidRPr="00067273" w:rsidRDefault="00CD1734" w:rsidP="00FC2F64">
      <w:pPr>
        <w:pStyle w:val="ListParagraph"/>
        <w:numPr>
          <w:ilvl w:val="0"/>
          <w:numId w:val="26"/>
        </w:numPr>
      </w:pPr>
      <w:r w:rsidRPr="00067273">
        <w:t>The member has a diagnosis of gender dysphoria.</w:t>
      </w:r>
    </w:p>
    <w:p w14:paraId="7C55FD3F" w14:textId="005E6AD2" w:rsidR="00CD1734" w:rsidRPr="00067273" w:rsidRDefault="00CD1734" w:rsidP="00FC2F64">
      <w:pPr>
        <w:pStyle w:val="ListParagraph"/>
        <w:numPr>
          <w:ilvl w:val="0"/>
          <w:numId w:val="26"/>
        </w:numPr>
      </w:pPr>
      <w:r w:rsidRPr="00067273">
        <w:t xml:space="preserve">The member </w:t>
      </w:r>
      <w:proofErr w:type="gramStart"/>
      <w:r w:rsidRPr="00067273">
        <w:t>is able to</w:t>
      </w:r>
      <w:proofErr w:type="gramEnd"/>
      <w:r w:rsidRPr="00067273">
        <w:t xml:space="preserve"> make an informed decision to engage in treatment.</w:t>
      </w:r>
    </w:p>
    <w:p w14:paraId="09E154C6" w14:textId="6CE39DD6" w:rsidR="00CD1734" w:rsidRPr="00067273" w:rsidRDefault="00CD1734" w:rsidP="00FC2F64">
      <w:pPr>
        <w:pStyle w:val="ListParagraph"/>
        <w:numPr>
          <w:ilvl w:val="0"/>
          <w:numId w:val="26"/>
        </w:numPr>
      </w:pPr>
      <w:r w:rsidRPr="00067273">
        <w:t>The member will receive the requested medication concomitantly with gender-affirming hormones.</w:t>
      </w:r>
    </w:p>
    <w:p w14:paraId="247DDF36" w14:textId="1724D014" w:rsidR="00CD1734" w:rsidRPr="00067273" w:rsidRDefault="00CD1734" w:rsidP="00FC2F64">
      <w:pPr>
        <w:pStyle w:val="ListParagraph"/>
        <w:numPr>
          <w:ilvl w:val="0"/>
          <w:numId w:val="26"/>
        </w:numPr>
      </w:pPr>
      <w:r w:rsidRPr="00067273">
        <w:t>The member’s comorbid conditions are reasonably controlled.</w:t>
      </w:r>
    </w:p>
    <w:p w14:paraId="0BE8E5B3" w14:textId="14625B32" w:rsidR="00CD1734" w:rsidRPr="00067273" w:rsidRDefault="00CD1734" w:rsidP="00FC2F64">
      <w:pPr>
        <w:pStyle w:val="ListParagraph"/>
        <w:numPr>
          <w:ilvl w:val="0"/>
          <w:numId w:val="26"/>
        </w:numPr>
      </w:pPr>
      <w:r w:rsidRPr="00067273">
        <w:t>The member has been educated on any contraindications and side effects to therapy.</w:t>
      </w:r>
    </w:p>
    <w:p w14:paraId="00C0B7A8" w14:textId="3EA07A30" w:rsidR="00CD1734" w:rsidRPr="00067273" w:rsidRDefault="00CD1734" w:rsidP="00FC2F64">
      <w:pPr>
        <w:pStyle w:val="ListParagraph"/>
        <w:numPr>
          <w:ilvl w:val="0"/>
          <w:numId w:val="26"/>
        </w:numPr>
      </w:pPr>
      <w:r w:rsidRPr="00067273">
        <w:t>Before the start of therapy, the member has been informed of fertility preservation options.</w:t>
      </w:r>
    </w:p>
    <w:p w14:paraId="1EC382FB" w14:textId="2EA230D2" w:rsidR="002A3293" w:rsidRPr="0026166B" w:rsidRDefault="002A3293" w:rsidP="00CD1734">
      <w:pPr>
        <w:pStyle w:val="Heading3"/>
        <w:rPr>
          <w:vertAlign w:val="superscript"/>
        </w:rPr>
      </w:pPr>
      <w:r w:rsidRPr="0026166B">
        <w:t>Saliv</w:t>
      </w:r>
      <w:r w:rsidR="001503F6" w:rsidRPr="0026166B">
        <w:t>a</w:t>
      </w:r>
      <w:r w:rsidRPr="0026166B">
        <w:t>ry Gland Tumor</w:t>
      </w:r>
      <w:r w:rsidR="005B79B1" w:rsidRPr="0026166B">
        <w:t xml:space="preserve"> and Uterine Sarcoma</w:t>
      </w:r>
      <w:r w:rsidR="00060E49" w:rsidRPr="0026166B">
        <w:rPr>
          <w:vertAlign w:val="superscript"/>
        </w:rPr>
        <w:t>3,18</w:t>
      </w:r>
    </w:p>
    <w:p w14:paraId="194DD016" w14:textId="0087E6CF" w:rsidR="002A3293" w:rsidRPr="002A3293" w:rsidRDefault="002A3293" w:rsidP="0026166B">
      <w:pPr>
        <w:pStyle w:val="BodyText"/>
      </w:pPr>
      <w:r w:rsidRPr="0026166B">
        <w:t xml:space="preserve">Authorization of 12 months may be granted for continued treatment of salivary gland tumor </w:t>
      </w:r>
      <w:r w:rsidR="004F6833" w:rsidRPr="0026166B">
        <w:t xml:space="preserve">and uterine sarcoma </w:t>
      </w:r>
      <w:r w:rsidRPr="0026166B">
        <w:t>in members requesting reauthorization when there is no evidence of unacceptable toxicity or disease progression while on the current regimen.</w:t>
      </w:r>
    </w:p>
    <w:p w14:paraId="7C406BB9" w14:textId="481312C2" w:rsidR="00F91C02" w:rsidRDefault="00F91C02" w:rsidP="00CD1734">
      <w:pPr>
        <w:pStyle w:val="Heading3"/>
      </w:pPr>
      <w:r>
        <w:t>All Other Indications</w:t>
      </w:r>
    </w:p>
    <w:p w14:paraId="7F6AB1F0" w14:textId="3C209219" w:rsidR="00CD1734" w:rsidRPr="00067273" w:rsidRDefault="00CD1734" w:rsidP="00F91C02">
      <w:pPr>
        <w:pStyle w:val="BodyText"/>
      </w:pPr>
      <w:r w:rsidRPr="00067273">
        <w:t xml:space="preserve">All </w:t>
      </w:r>
      <w:r w:rsidR="00F91C02">
        <w:t>m</w:t>
      </w:r>
      <w:r w:rsidR="00263F1D" w:rsidRPr="00067273">
        <w:t>embers (</w:t>
      </w:r>
      <w:r w:rsidR="00F91C02">
        <w:t>i</w:t>
      </w:r>
      <w:r w:rsidR="00263F1D" w:rsidRPr="00067273">
        <w:t xml:space="preserve">ncluding </w:t>
      </w:r>
      <w:r w:rsidR="00F91C02">
        <w:t>n</w:t>
      </w:r>
      <w:r w:rsidR="00263F1D" w:rsidRPr="00067273">
        <w:t xml:space="preserve">ew </w:t>
      </w:r>
      <w:r w:rsidR="00F91C02">
        <w:t>m</w:t>
      </w:r>
      <w:r w:rsidR="00263F1D" w:rsidRPr="00067273">
        <w:t xml:space="preserve">embers) </w:t>
      </w:r>
      <w:r w:rsidR="00F91C02">
        <w:t>r</w:t>
      </w:r>
      <w:r w:rsidR="00263F1D" w:rsidRPr="00067273">
        <w:t xml:space="preserve">equesting </w:t>
      </w:r>
      <w:r w:rsidR="00F91C02">
        <w:t>a</w:t>
      </w:r>
      <w:r w:rsidR="00263F1D" w:rsidRPr="00067273">
        <w:t xml:space="preserve">uthorization for </w:t>
      </w:r>
      <w:r w:rsidR="00F91C02">
        <w:t>c</w:t>
      </w:r>
      <w:r w:rsidR="00263F1D" w:rsidRPr="00067273">
        <w:t xml:space="preserve">ontinuation of </w:t>
      </w:r>
      <w:r w:rsidR="00F91C02">
        <w:t>t</w:t>
      </w:r>
      <w:r w:rsidR="00263F1D" w:rsidRPr="00067273">
        <w:t xml:space="preserve">herapy for the </w:t>
      </w:r>
      <w:r w:rsidR="00F91C02">
        <w:t>s</w:t>
      </w:r>
      <w:r w:rsidR="00263F1D" w:rsidRPr="00067273">
        <w:t xml:space="preserve">pecified </w:t>
      </w:r>
      <w:r w:rsidR="00F91C02">
        <w:t>i</w:t>
      </w:r>
      <w:r w:rsidR="00263F1D" w:rsidRPr="00067273">
        <w:t xml:space="preserve">ndications </w:t>
      </w:r>
      <w:r w:rsidR="00F91C02">
        <w:t>b</w:t>
      </w:r>
      <w:r w:rsidR="00263F1D" w:rsidRPr="00067273">
        <w:t xml:space="preserve">elow </w:t>
      </w:r>
      <w:r w:rsidR="00F91C02">
        <w:t>m</w:t>
      </w:r>
      <w:r w:rsidR="00263F1D" w:rsidRPr="00067273">
        <w:t xml:space="preserve">ust </w:t>
      </w:r>
      <w:r w:rsidR="00F91C02">
        <w:t>m</w:t>
      </w:r>
      <w:r w:rsidR="00263F1D" w:rsidRPr="00067273">
        <w:t xml:space="preserve">eet all </w:t>
      </w:r>
      <w:r w:rsidR="00F93E31">
        <w:t>r</w:t>
      </w:r>
      <w:r w:rsidR="005F5E3F">
        <w:t xml:space="preserve">equirements in the </w:t>
      </w:r>
      <w:r w:rsidR="00F93E31">
        <w:t>c</w:t>
      </w:r>
      <w:r w:rsidR="005F5E3F">
        <w:t xml:space="preserve">overage </w:t>
      </w:r>
      <w:r w:rsidR="00F93E31">
        <w:t>c</w:t>
      </w:r>
      <w:r w:rsidR="005F5E3F">
        <w:t xml:space="preserve">riteria </w:t>
      </w:r>
      <w:r w:rsidR="00721A7A">
        <w:t>s</w:t>
      </w:r>
      <w:r w:rsidR="005F5E3F">
        <w:t>ection</w:t>
      </w:r>
      <w:r w:rsidR="00F93E31">
        <w:t>:</w:t>
      </w:r>
    </w:p>
    <w:p w14:paraId="3B394524" w14:textId="12902A23" w:rsidR="00CD1734" w:rsidRPr="00067273" w:rsidRDefault="00CD1734" w:rsidP="00FC2F64">
      <w:pPr>
        <w:pStyle w:val="ListParagraph"/>
        <w:numPr>
          <w:ilvl w:val="0"/>
          <w:numId w:val="27"/>
        </w:numPr>
      </w:pPr>
      <w:r w:rsidRPr="00067273">
        <w:t>Endometriosis</w:t>
      </w:r>
    </w:p>
    <w:p w14:paraId="1F1E40C9" w14:textId="61FE0E73" w:rsidR="00CD1734" w:rsidRPr="00067273" w:rsidRDefault="00CD1734" w:rsidP="00FC2F64">
      <w:pPr>
        <w:pStyle w:val="ListParagraph"/>
        <w:numPr>
          <w:ilvl w:val="0"/>
          <w:numId w:val="27"/>
        </w:numPr>
      </w:pPr>
      <w:r w:rsidRPr="00067273">
        <w:t>Endometrial-thinning agent</w:t>
      </w:r>
    </w:p>
    <w:p w14:paraId="66A8162A" w14:textId="0962C53E" w:rsidR="00CD1734" w:rsidRPr="00067273" w:rsidRDefault="00CD1734" w:rsidP="00FC2F64">
      <w:pPr>
        <w:pStyle w:val="ListParagraph"/>
        <w:numPr>
          <w:ilvl w:val="0"/>
          <w:numId w:val="27"/>
        </w:numPr>
      </w:pPr>
      <w:r w:rsidRPr="00067273">
        <w:t>Preservation of ovarian function</w:t>
      </w:r>
    </w:p>
    <w:p w14:paraId="59673D78" w14:textId="10A4EA67" w:rsidR="00CD1734" w:rsidRPr="00067273" w:rsidRDefault="00CD1734" w:rsidP="00FC2F64">
      <w:pPr>
        <w:pStyle w:val="ListParagraph"/>
        <w:numPr>
          <w:ilvl w:val="0"/>
          <w:numId w:val="27"/>
        </w:numPr>
      </w:pPr>
      <w:r w:rsidRPr="00067273">
        <w:t>Prevention of recurrent menstrual related attacks in acute porphyria</w:t>
      </w:r>
    </w:p>
    <w:p w14:paraId="76623439" w14:textId="2F634894" w:rsidR="00CD1734" w:rsidRPr="00067273" w:rsidRDefault="00CD1734" w:rsidP="00CD1734">
      <w:pPr>
        <w:pStyle w:val="Heading2"/>
      </w:pPr>
      <w:r w:rsidRPr="00067273">
        <w:lastRenderedPageBreak/>
        <w:t>Other</w:t>
      </w:r>
    </w:p>
    <w:p w14:paraId="62BBC0E0" w14:textId="2429B3C3" w:rsidR="00CD1734" w:rsidRPr="00067273" w:rsidRDefault="00CD1734" w:rsidP="00CD1734">
      <w:pPr>
        <w:pStyle w:val="BodyText"/>
      </w:pPr>
      <w:r w:rsidRPr="00067273">
        <w:t>Per state regulatory guidelines around gender dysphoria, age restrictions may apply.</w:t>
      </w:r>
    </w:p>
    <w:p w14:paraId="10DA4309" w14:textId="0981C8DC" w:rsidR="00FF66BF" w:rsidRPr="00067273" w:rsidRDefault="00FF66BF" w:rsidP="00FF66BF">
      <w:pPr>
        <w:pStyle w:val="Heading2"/>
      </w:pPr>
      <w:r w:rsidRPr="00067273">
        <w:t>References</w:t>
      </w:r>
    </w:p>
    <w:p w14:paraId="7202E49D" w14:textId="77777777" w:rsidR="00CD1734" w:rsidRPr="00067273" w:rsidRDefault="00CD1734" w:rsidP="004D393C">
      <w:pPr>
        <w:pStyle w:val="ReferenceOrdered"/>
        <w:ind w:left="360"/>
      </w:pPr>
      <w:r w:rsidRPr="00067273">
        <w:t xml:space="preserve">Zoladex 3.6 mg [package insert]. Deerfield, IL: </w:t>
      </w:r>
      <w:proofErr w:type="spellStart"/>
      <w:r w:rsidRPr="00067273">
        <w:t>TerSera</w:t>
      </w:r>
      <w:proofErr w:type="spellEnd"/>
      <w:r w:rsidRPr="00067273">
        <w:t xml:space="preserve"> Therapeutics LLC; March 2023.</w:t>
      </w:r>
    </w:p>
    <w:p w14:paraId="74095E62" w14:textId="3C3AA984" w:rsidR="00CD1734" w:rsidRPr="00067273" w:rsidRDefault="00CD1734" w:rsidP="004D393C">
      <w:pPr>
        <w:pStyle w:val="ReferenceOrdered"/>
        <w:ind w:left="360"/>
      </w:pPr>
      <w:r w:rsidRPr="00067273">
        <w:t xml:space="preserve">Zoladex 10.8 mg [package insert]. Deerfield, IL: </w:t>
      </w:r>
      <w:proofErr w:type="spellStart"/>
      <w:r w:rsidRPr="00067273">
        <w:t>TerSera</w:t>
      </w:r>
      <w:proofErr w:type="spellEnd"/>
      <w:r w:rsidRPr="00067273">
        <w:t xml:space="preserve"> Therapeutics LLC; December 2020.</w:t>
      </w:r>
    </w:p>
    <w:p w14:paraId="2676BF7A" w14:textId="1D9D7267" w:rsidR="00CD1734" w:rsidRPr="00067273" w:rsidRDefault="00CD1734" w:rsidP="004D393C">
      <w:pPr>
        <w:pStyle w:val="ReferenceOrdered"/>
        <w:ind w:left="360"/>
      </w:pPr>
      <w:r w:rsidRPr="00067273">
        <w:t>The NCCN Drugs &amp; Biologics Compendium® © 202</w:t>
      </w:r>
      <w:r w:rsidR="00CD214B">
        <w:t>5</w:t>
      </w:r>
      <w:r w:rsidRPr="00067273">
        <w:t xml:space="preserve"> National Comprehensive Cancer Network, Inc. http://www.nccn.org. Accessed </w:t>
      </w:r>
      <w:r w:rsidR="00BA1D7E">
        <w:t>February</w:t>
      </w:r>
      <w:r w:rsidRPr="00067273">
        <w:t xml:space="preserve"> </w:t>
      </w:r>
      <w:r w:rsidR="00BA1D7E">
        <w:t>18</w:t>
      </w:r>
      <w:r w:rsidRPr="00067273">
        <w:t>, 202</w:t>
      </w:r>
      <w:r w:rsidR="00BA1D7E">
        <w:t>5</w:t>
      </w:r>
      <w:r w:rsidRPr="00067273">
        <w:t>.</w:t>
      </w:r>
    </w:p>
    <w:p w14:paraId="349C781F" w14:textId="3EB8430E" w:rsidR="00CD1734" w:rsidRPr="00067273" w:rsidRDefault="00CD1734" w:rsidP="004D393C">
      <w:pPr>
        <w:pStyle w:val="ReferenceOrdered"/>
        <w:ind w:left="360"/>
      </w:pPr>
      <w:r w:rsidRPr="00067273">
        <w:t>DRUGDEX® System (electronic version). Truven Health Analytics, Ann Arbor, MI. Available at http://www.micromedexsolutions.com.</w:t>
      </w:r>
      <w:r w:rsidRPr="004D393C">
        <w:rPr>
          <w:rFonts w:ascii="Arial" w:hAnsi="Arial"/>
        </w:rPr>
        <w:t> </w:t>
      </w:r>
      <w:r w:rsidRPr="00067273">
        <w:t xml:space="preserve">Accessed February </w:t>
      </w:r>
      <w:r w:rsidR="00775E16">
        <w:t>18</w:t>
      </w:r>
      <w:r w:rsidRPr="00067273">
        <w:t>, 202</w:t>
      </w:r>
      <w:r w:rsidR="00775E16">
        <w:t>5</w:t>
      </w:r>
      <w:r w:rsidRPr="00067273">
        <w:t>.</w:t>
      </w:r>
    </w:p>
    <w:p w14:paraId="29704095" w14:textId="2C358E36" w:rsidR="0000285F" w:rsidRPr="0000285F" w:rsidRDefault="00D150A2" w:rsidP="004D393C">
      <w:pPr>
        <w:pStyle w:val="ReferenceOrdered"/>
        <w:ind w:left="360"/>
      </w:pPr>
      <w:proofErr w:type="spellStart"/>
      <w:r>
        <w:t>H</w:t>
      </w:r>
      <w:r w:rsidR="0000285F" w:rsidRPr="0000285F">
        <w:t>embree</w:t>
      </w:r>
      <w:proofErr w:type="spellEnd"/>
      <w:r w:rsidR="0000285F" w:rsidRPr="0000285F">
        <w:t xml:space="preserve"> WC, Cohen-</w:t>
      </w:r>
      <w:proofErr w:type="spellStart"/>
      <w:r w:rsidR="0000285F" w:rsidRPr="0000285F">
        <w:t>Kettenis</w:t>
      </w:r>
      <w:proofErr w:type="spellEnd"/>
      <w:r w:rsidR="0000285F" w:rsidRPr="0000285F">
        <w:t xml:space="preserve"> PT, </w:t>
      </w:r>
      <w:proofErr w:type="spellStart"/>
      <w:r w:rsidR="0000285F" w:rsidRPr="0000285F">
        <w:t>Gooren</w:t>
      </w:r>
      <w:proofErr w:type="spellEnd"/>
      <w:r w:rsidR="0000285F" w:rsidRPr="0000285F">
        <w:t xml:space="preserve"> L, et al. Endocrine treatment of gender-dysphoric/gender-incongruent persons: an Endocrine Society clinical practice guideline. </w:t>
      </w:r>
      <w:r w:rsidR="0000285F" w:rsidRPr="00194127">
        <w:t xml:space="preserve">J Clin Endocrinol </w:t>
      </w:r>
      <w:proofErr w:type="spellStart"/>
      <w:r w:rsidR="0000285F" w:rsidRPr="00194127">
        <w:t>Metab</w:t>
      </w:r>
      <w:proofErr w:type="spellEnd"/>
      <w:r w:rsidR="0000285F" w:rsidRPr="00194127">
        <w:t>.</w:t>
      </w:r>
      <w:r w:rsidR="0000285F" w:rsidRPr="0000285F">
        <w:t xml:space="preserve"> 2017:102(11):3869–3903.</w:t>
      </w:r>
    </w:p>
    <w:p w14:paraId="526A6114" w14:textId="77777777" w:rsidR="0000285F" w:rsidRPr="0000285F" w:rsidRDefault="0000285F" w:rsidP="004D393C">
      <w:pPr>
        <w:pStyle w:val="ReferenceOrdered"/>
        <w:ind w:left="360"/>
      </w:pPr>
      <w:r w:rsidRPr="0000285F">
        <w:t>Gender Identity Research and Education Society. Guidance for GPs and other clinicians on the treatment of gender variant people. UK Department of Health. Published March 10, 2008.</w:t>
      </w:r>
    </w:p>
    <w:p w14:paraId="561B2B02" w14:textId="4FA0C197" w:rsidR="0000285F" w:rsidRPr="004D393C" w:rsidRDefault="0000285F" w:rsidP="004D393C">
      <w:pPr>
        <w:pStyle w:val="ReferenceOrdered"/>
        <w:ind w:left="360"/>
      </w:pPr>
      <w:bookmarkStart w:id="3" w:name="_Hlk158384634"/>
      <w:r w:rsidRPr="004D393C">
        <w:t xml:space="preserve">Coleman E, Radix AE, Brown GR, et al. </w:t>
      </w:r>
      <w:r w:rsidRPr="0000285F">
        <w:t>Standards of care for the health of transgender and gender diverse people, version 8. 2022;23(Suppl 1</w:t>
      </w:r>
      <w:proofErr w:type="gramStart"/>
      <w:r w:rsidRPr="0000285F">
        <w:t>):S</w:t>
      </w:r>
      <w:proofErr w:type="gramEnd"/>
      <w:r w:rsidRPr="0000285F">
        <w:t>1-S259</w:t>
      </w:r>
      <w:bookmarkStart w:id="4" w:name="OLE_LINK17"/>
      <w:r w:rsidRPr="0000285F">
        <w:t>.</w:t>
      </w:r>
      <w:bookmarkEnd w:id="4"/>
      <w:r w:rsidRPr="0000285F">
        <w:t xml:space="preserve"> </w:t>
      </w:r>
      <w:proofErr w:type="spellStart"/>
      <w:r w:rsidRPr="0000285F">
        <w:t>doi</w:t>
      </w:r>
      <w:proofErr w:type="spellEnd"/>
      <w:r w:rsidRPr="0000285F">
        <w:t>: 10.1080/26895269.2022.2100644</w:t>
      </w:r>
      <w:bookmarkEnd w:id="3"/>
      <w:r w:rsidR="00294AEB">
        <w:t>.</w:t>
      </w:r>
    </w:p>
    <w:p w14:paraId="6B4DD765" w14:textId="77777777" w:rsidR="0000285F" w:rsidRPr="0000285F" w:rsidRDefault="0000285F" w:rsidP="004D393C">
      <w:pPr>
        <w:pStyle w:val="ReferenceOrdered"/>
        <w:ind w:left="360"/>
      </w:pPr>
      <w:r w:rsidRPr="004D393C">
        <w:t xml:space="preserve">Noguchi S, Kim HJ, </w:t>
      </w:r>
      <w:proofErr w:type="spellStart"/>
      <w:r w:rsidRPr="004D393C">
        <w:t>Jesena</w:t>
      </w:r>
      <w:proofErr w:type="spellEnd"/>
      <w:r w:rsidRPr="004D393C">
        <w:t xml:space="preserve"> A, et al. Phase 3, open-label, randomized study comparing 3-monthly with monthly goserelin in pre-menopausal women with estrogen receptor-positive advanced breast cancer. Breast Cancer (Tokyo, Japan). 2016;23(5):771-779. doi:10.1007/s12282-015-0637-4.</w:t>
      </w:r>
    </w:p>
    <w:p w14:paraId="244D3E92" w14:textId="77777777" w:rsidR="0000285F" w:rsidRPr="0000285F" w:rsidRDefault="0000285F" w:rsidP="004D393C">
      <w:pPr>
        <w:pStyle w:val="ReferenceOrdered"/>
        <w:ind w:left="360"/>
      </w:pPr>
      <w:r w:rsidRPr="004D393C">
        <w:t xml:space="preserve">Moore HCF, Unger JM, Phillips K-A, et al. Goserelin for ovarian protection during breast-cancer adjuvant chemotherapy. N Engl J Med. </w:t>
      </w:r>
      <w:proofErr w:type="gramStart"/>
      <w:r w:rsidRPr="004D393C">
        <w:t>2015;372:923</w:t>
      </w:r>
      <w:proofErr w:type="gramEnd"/>
      <w:r w:rsidRPr="004D393C">
        <w:t>-32. doi:10.1056/NEJMoa1413204.</w:t>
      </w:r>
    </w:p>
    <w:p w14:paraId="42662AB3" w14:textId="3BB24EB9" w:rsidR="0000285F" w:rsidRPr="00A94BFF" w:rsidRDefault="0000285F" w:rsidP="004D393C">
      <w:pPr>
        <w:pStyle w:val="ReferenceOrdered"/>
        <w:ind w:left="360"/>
      </w:pPr>
      <w:proofErr w:type="spellStart"/>
      <w:r w:rsidRPr="00A94BFF">
        <w:t>Clowse</w:t>
      </w:r>
      <w:proofErr w:type="spellEnd"/>
      <w:r w:rsidRPr="00A94BFF">
        <w:t xml:space="preserve"> MEB, </w:t>
      </w:r>
      <w:r w:rsidRPr="0000285F">
        <w:t xml:space="preserve">Behera MA, Anders CK, et al. Ovarian preservation by GnRH agonists during chemotherapy: a meta-analysis. </w:t>
      </w:r>
      <w:r w:rsidRPr="00194127">
        <w:t xml:space="preserve">J </w:t>
      </w:r>
      <w:proofErr w:type="spellStart"/>
      <w:r w:rsidRPr="00194127">
        <w:t>Womens</w:t>
      </w:r>
      <w:proofErr w:type="spellEnd"/>
      <w:r w:rsidRPr="00194127">
        <w:t xml:space="preserve"> Health (</w:t>
      </w:r>
      <w:proofErr w:type="spellStart"/>
      <w:r w:rsidRPr="00194127">
        <w:t>Larchmt</w:t>
      </w:r>
      <w:proofErr w:type="spellEnd"/>
      <w:r w:rsidRPr="00194127">
        <w:t>)</w:t>
      </w:r>
      <w:r w:rsidRPr="0000285F">
        <w:t>. 2009;18(3): 311–319. doi:10.1089/jwh.2008.0857.</w:t>
      </w:r>
    </w:p>
    <w:p w14:paraId="6480EFB0" w14:textId="668CD711" w:rsidR="0000285F" w:rsidRPr="00A94BFF" w:rsidRDefault="0000285F" w:rsidP="004D393C">
      <w:pPr>
        <w:pStyle w:val="ReferenceOrdered"/>
        <w:ind w:left="360"/>
      </w:pPr>
      <w:proofErr w:type="spellStart"/>
      <w:r w:rsidRPr="00A94BFF">
        <w:t>Oktay</w:t>
      </w:r>
      <w:proofErr w:type="spellEnd"/>
      <w:r w:rsidRPr="00A94BFF">
        <w:t xml:space="preserve"> K, Harvey BE, et al</w:t>
      </w:r>
      <w:r w:rsidR="00475151">
        <w:t>.</w:t>
      </w:r>
      <w:r w:rsidRPr="00A94BFF">
        <w:t xml:space="preserve"> Fertility Preservation in Patients </w:t>
      </w:r>
      <w:proofErr w:type="gramStart"/>
      <w:r w:rsidRPr="00A94BFF">
        <w:t>With</w:t>
      </w:r>
      <w:proofErr w:type="gramEnd"/>
      <w:r w:rsidRPr="00A94BFF">
        <w:t xml:space="preserve"> Cancer: ASCO Clinical Practice Guideline Update. </w:t>
      </w:r>
      <w:r w:rsidR="00F155DB">
        <w:t>J Clin Oncol.</w:t>
      </w:r>
      <w:r w:rsidR="00635024">
        <w:t xml:space="preserve"> 2018;36(19):</w:t>
      </w:r>
      <w:r w:rsidRPr="00A94BFF">
        <w:t>1994-2003</w:t>
      </w:r>
      <w:r w:rsidR="00635024">
        <w:t>.</w:t>
      </w:r>
    </w:p>
    <w:p w14:paraId="41782AE6" w14:textId="31860D76" w:rsidR="0000285F" w:rsidRPr="00A94BFF" w:rsidRDefault="0000285F" w:rsidP="004D393C">
      <w:pPr>
        <w:pStyle w:val="ReferenceOrdered"/>
        <w:ind w:left="360"/>
      </w:pPr>
      <w:r w:rsidRPr="00A94BFF">
        <w:t xml:space="preserve">National Comprehensive Cancer Network. NCCN Clinical Practice Guidelines in Oncology: Breast Cancer. Version </w:t>
      </w:r>
      <w:r>
        <w:t>1.202</w:t>
      </w:r>
      <w:r w:rsidR="00CD214B">
        <w:t>5</w:t>
      </w:r>
      <w:r>
        <w:t>. https://www.nccg.org/professionals/</w:t>
      </w:r>
      <w:r w:rsidRPr="0046541C">
        <w:t xml:space="preserve"> </w:t>
      </w:r>
      <w:proofErr w:type="spellStart"/>
      <w:r w:rsidRPr="0046541C">
        <w:t>physician_gls</w:t>
      </w:r>
      <w:proofErr w:type="spellEnd"/>
      <w:r w:rsidRPr="0046541C">
        <w:t>/pdf/breast.pdf</w:t>
      </w:r>
      <w:r>
        <w:t xml:space="preserve">. </w:t>
      </w:r>
      <w:r w:rsidRPr="0046541C">
        <w:t>Accessed February 6, 2024</w:t>
      </w:r>
      <w:r w:rsidRPr="00A94BFF">
        <w:t>.</w:t>
      </w:r>
    </w:p>
    <w:p w14:paraId="3A128BFA" w14:textId="6F3257ED" w:rsidR="0000285F" w:rsidRPr="00A94BFF" w:rsidRDefault="0000285F" w:rsidP="004D393C">
      <w:pPr>
        <w:pStyle w:val="ReferenceOrdered"/>
        <w:ind w:left="360"/>
      </w:pPr>
      <w:r w:rsidRPr="00A94BFF">
        <w:t xml:space="preserve">Stein P, Badminton M, Barth J, </w:t>
      </w:r>
      <w:r>
        <w:t>et al.</w:t>
      </w:r>
      <w:r w:rsidRPr="00A94BFF">
        <w:t xml:space="preserve"> British and Irish Porphyria Network. Best practice guidelines on clinical management of acute attacks of porphyria and their complications. Ann Clin </w:t>
      </w:r>
      <w:proofErr w:type="spellStart"/>
      <w:r w:rsidRPr="00A94BFF">
        <w:t>Biochem</w:t>
      </w:r>
      <w:proofErr w:type="spellEnd"/>
      <w:r w:rsidRPr="00A94BFF">
        <w:t>. 2013</w:t>
      </w:r>
      <w:r w:rsidR="00BE4BCE">
        <w:t xml:space="preserve"> </w:t>
      </w:r>
      <w:r w:rsidRPr="00A94BFF">
        <w:t>;50(Pt 3):217-23.</w:t>
      </w:r>
    </w:p>
    <w:p w14:paraId="7490C82A" w14:textId="15D82892" w:rsidR="0000285F" w:rsidRPr="0000285F" w:rsidRDefault="0000285F" w:rsidP="004D393C">
      <w:pPr>
        <w:pStyle w:val="ReferenceOrdered"/>
        <w:ind w:left="360"/>
      </w:pPr>
      <w:r w:rsidRPr="004D393C">
        <w:t xml:space="preserve">Innala E, Bäckström T, Bixo M, et al. Evaluation of gonadotrophin-releasing hormone agonist treatment for prevention of menstrual-related attacks in acute porphyria. Acta </w:t>
      </w:r>
      <w:proofErr w:type="spellStart"/>
      <w:r w:rsidRPr="004D393C">
        <w:t>Obstet</w:t>
      </w:r>
      <w:proofErr w:type="spellEnd"/>
      <w:r w:rsidRPr="004D393C">
        <w:t xml:space="preserve"> </w:t>
      </w:r>
      <w:proofErr w:type="spellStart"/>
      <w:r w:rsidRPr="004D393C">
        <w:t>Gynecol</w:t>
      </w:r>
      <w:proofErr w:type="spellEnd"/>
      <w:r w:rsidRPr="004D393C">
        <w:t> Scand</w:t>
      </w:r>
      <w:r w:rsidR="0018407F" w:rsidRPr="004D393C">
        <w:t>.</w:t>
      </w:r>
      <w:r w:rsidRPr="004D393C">
        <w:t xml:space="preserve"> </w:t>
      </w:r>
      <w:proofErr w:type="gramStart"/>
      <w:r w:rsidRPr="004D393C">
        <w:t>2010;89:95</w:t>
      </w:r>
      <w:proofErr w:type="gramEnd"/>
      <w:r w:rsidRPr="004D393C">
        <w:t>–100.</w:t>
      </w:r>
    </w:p>
    <w:p w14:paraId="6D6D00A5" w14:textId="77777777" w:rsidR="0000285F" w:rsidRPr="0000285F" w:rsidRDefault="0000285F" w:rsidP="004D393C">
      <w:pPr>
        <w:pStyle w:val="ReferenceOrdered"/>
        <w:ind w:left="360"/>
      </w:pPr>
      <w:bookmarkStart w:id="5" w:name="OLE_LINK48"/>
      <w:proofErr w:type="spellStart"/>
      <w:r w:rsidRPr="0000285F">
        <w:t>Mahfouda</w:t>
      </w:r>
      <w:proofErr w:type="spellEnd"/>
      <w:r w:rsidRPr="0000285F">
        <w:t xml:space="preserve"> S, Moore JK, </w:t>
      </w:r>
      <w:proofErr w:type="spellStart"/>
      <w:r w:rsidRPr="0000285F">
        <w:t>Siafarikas</w:t>
      </w:r>
      <w:proofErr w:type="spellEnd"/>
      <w:r w:rsidRPr="0000285F">
        <w:t xml:space="preserve"> A, et al. Puberty suppression in transgender children and adolescents. </w:t>
      </w:r>
      <w:r w:rsidRPr="00194127">
        <w:t>Lancet Diabetes Endocrinol</w:t>
      </w:r>
      <w:r w:rsidRPr="0000285F">
        <w:t xml:space="preserve">. </w:t>
      </w:r>
      <w:proofErr w:type="gramStart"/>
      <w:r w:rsidRPr="0000285F">
        <w:t>2017;5:816</w:t>
      </w:r>
      <w:proofErr w:type="gramEnd"/>
      <w:r w:rsidRPr="0000285F">
        <w:t>-26.</w:t>
      </w:r>
    </w:p>
    <w:p w14:paraId="09BEBD72" w14:textId="2110C357" w:rsidR="0000285F" w:rsidRDefault="0000285F" w:rsidP="004D393C">
      <w:pPr>
        <w:pStyle w:val="ReferenceOrdered"/>
        <w:ind w:left="360"/>
      </w:pPr>
      <w:bookmarkStart w:id="6" w:name="OLE_LINK33"/>
      <w:r w:rsidRPr="0000285F">
        <w:lastRenderedPageBreak/>
        <w:t xml:space="preserve">Health Care for Transgender and Gender Diverse Individuals. ©2021 The American College of Obstetricians and Gynecologists. Available at: </w:t>
      </w:r>
      <w:bookmarkEnd w:id="6"/>
      <w:r w:rsidR="00573A1F" w:rsidRPr="00FF3EB2">
        <w:t>https://www.acog.org/clinical/clinical-guidance/committee-opinion/articles/2021/03/health-care-for-transgender-and-gender-diverse-individuals</w:t>
      </w:r>
      <w:r w:rsidRPr="0000285F">
        <w:t>.</w:t>
      </w:r>
    </w:p>
    <w:bookmarkEnd w:id="5"/>
    <w:p w14:paraId="7F6FFD08" w14:textId="77777777" w:rsidR="004D393C" w:rsidRDefault="00BC58DC" w:rsidP="004D393C">
      <w:pPr>
        <w:pStyle w:val="ReferenceOrdered"/>
        <w:ind w:left="360"/>
      </w:pPr>
      <w:r>
        <w:t xml:space="preserve">National </w:t>
      </w:r>
      <w:r w:rsidRPr="00A94BFF">
        <w:t xml:space="preserve">Comprehensive Cancer Network. NCCN Clinical Practice Guidelines in Oncology: </w:t>
      </w:r>
      <w:r w:rsidR="005E267D">
        <w:t>Ovarian Cancer</w:t>
      </w:r>
      <w:r w:rsidR="00F53D7A">
        <w:t xml:space="preserve"> Including Fallopian Tube Cancer and Primary Peritoneal Cancer</w:t>
      </w:r>
      <w:r w:rsidRPr="00A94BFF">
        <w:t xml:space="preserve">. Version </w:t>
      </w:r>
      <w:r w:rsidR="00F53D7A">
        <w:t>3</w:t>
      </w:r>
      <w:r>
        <w:t>.2024.</w:t>
      </w:r>
      <w:r w:rsidR="00F53D7A" w:rsidRPr="00F53D7A">
        <w:t xml:space="preserve"> https://www.nccn.org/professionals/physician_gls/pdf/ovarian.pdf</w:t>
      </w:r>
      <w:r>
        <w:t xml:space="preserve">. </w:t>
      </w:r>
      <w:r w:rsidRPr="0046541C">
        <w:t xml:space="preserve">Accessed February </w:t>
      </w:r>
      <w:r w:rsidR="00F53D7A">
        <w:t>18</w:t>
      </w:r>
      <w:r w:rsidRPr="0046541C">
        <w:t>, 202</w:t>
      </w:r>
      <w:r w:rsidR="00F53D7A">
        <w:t>5.</w:t>
      </w:r>
    </w:p>
    <w:p w14:paraId="21E0A4EA" w14:textId="1D632430" w:rsidR="001934D5" w:rsidRDefault="000F0BB0" w:rsidP="004D393C">
      <w:pPr>
        <w:pStyle w:val="ReferenceOrdered"/>
        <w:ind w:left="360"/>
      </w:pPr>
      <w:r>
        <w:t xml:space="preserve">National </w:t>
      </w:r>
      <w:r w:rsidRPr="00A94BFF">
        <w:t xml:space="preserve">Comprehensive Cancer Network. NCCN Clinical Practice Guidelines in Oncology: </w:t>
      </w:r>
      <w:r w:rsidR="00BA4488">
        <w:t>Head and Neck Cancers</w:t>
      </w:r>
      <w:r w:rsidRPr="00A94BFF">
        <w:t xml:space="preserve">. Version </w:t>
      </w:r>
      <w:r w:rsidR="00BA4488">
        <w:t>2</w:t>
      </w:r>
      <w:r>
        <w:t>.202</w:t>
      </w:r>
      <w:r w:rsidR="00BA4488">
        <w:t>5</w:t>
      </w:r>
      <w:r>
        <w:t>.</w:t>
      </w:r>
      <w:r w:rsidRPr="00F53D7A">
        <w:t xml:space="preserve"> </w:t>
      </w:r>
      <w:r w:rsidR="00BA4488" w:rsidRPr="0026166B">
        <w:t>https://www.nccn.org/professionals/physician_gls/pdf/head-and-neck.pdf</w:t>
      </w:r>
      <w:r w:rsidR="00BA4488">
        <w:t xml:space="preserve">. </w:t>
      </w:r>
      <w:r w:rsidRPr="0046541C">
        <w:t xml:space="preserve">Accessed February </w:t>
      </w:r>
      <w:r>
        <w:t>18</w:t>
      </w:r>
      <w:r w:rsidRPr="0046541C">
        <w:t>, 202</w:t>
      </w:r>
      <w:r>
        <w:t>5.</w:t>
      </w:r>
      <w:bookmarkEnd w:id="0"/>
      <w:bookmarkEnd w:id="1"/>
    </w:p>
    <w:sectPr w:rsidR="001934D5" w:rsidSect="00F939A3">
      <w:headerReference w:type="first" r:id="rId15"/>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24D87" w14:textId="77777777" w:rsidR="00F92820" w:rsidRDefault="00F92820">
      <w:r>
        <w:separator/>
      </w:r>
    </w:p>
  </w:endnote>
  <w:endnote w:type="continuationSeparator" w:id="0">
    <w:p w14:paraId="508EE103" w14:textId="77777777" w:rsidR="00F92820" w:rsidRDefault="00F92820">
      <w:r>
        <w:continuationSeparator/>
      </w:r>
    </w:p>
  </w:endnote>
  <w:endnote w:type="continuationNotice" w:id="1">
    <w:p w14:paraId="06B7DD2F" w14:textId="77777777" w:rsidR="00F92820" w:rsidRDefault="00F928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5B9159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15E77">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BD1F4A" w:rsidRPr="00BD1F4A">
      <w:rPr>
        <w:rFonts w:cs="Arial"/>
        <w:noProof/>
        <w:sz w:val="16"/>
        <w:szCs w:val="16"/>
        <w:lang w:val="pt-PT"/>
      </w:rPr>
      <w:t>Zoladex</w:t>
    </w:r>
    <w:r w:rsidR="00BD1F4A">
      <w:rPr>
        <w:rFonts w:cs="Arial"/>
        <w:noProof/>
        <w:snapToGrid w:val="0"/>
        <w:color w:val="000000"/>
        <w:sz w:val="16"/>
        <w:szCs w:val="16"/>
        <w:lang w:val="pt-PT"/>
      </w:rPr>
      <w:t xml:space="preserve"> SGM 1918-A</w:t>
    </w:r>
    <w:r w:rsidR="00BD1F4A" w:rsidRPr="00BD1F4A">
      <w:rPr>
        <w:rFonts w:cs="Arial"/>
        <w:noProof/>
        <w:sz w:val="16"/>
        <w:szCs w:val="16"/>
        <w:lang w:val="pt-PT"/>
      </w:rPr>
      <w:t xml:space="preserve"> 6056-A</w:t>
    </w:r>
    <w:r w:rsidR="00BD1F4A">
      <w:rPr>
        <w:rFonts w:cs="Arial"/>
        <w:noProof/>
        <w:snapToGrid w:val="0"/>
        <w:color w:val="000000"/>
        <w:sz w:val="16"/>
        <w:szCs w:val="16"/>
        <w:lang w:val="pt-PT"/>
      </w:rPr>
      <w:t xml:space="preserve"> P2025.docx</w:t>
    </w:r>
    <w:r w:rsidRPr="00EC47B6">
      <w:rPr>
        <w:rFonts w:cs="Arial"/>
        <w:noProof/>
        <w:sz w:val="16"/>
        <w:szCs w:val="16"/>
      </w:rPr>
      <w:fldChar w:fldCharType="end"/>
    </w:r>
    <w:r w:rsidRPr="00E15E77">
      <w:rPr>
        <w:rFonts w:cs="Arial"/>
        <w:snapToGrid w:val="0"/>
        <w:color w:val="000000"/>
        <w:sz w:val="16"/>
        <w:lang w:val="pt-PT"/>
      </w:rPr>
      <w:tab/>
      <w:t xml:space="preserve">© </w:t>
    </w:r>
    <w:r w:rsidRPr="00E15E77">
      <w:rPr>
        <w:rFonts w:cs="Arial"/>
        <w:snapToGrid w:val="0"/>
        <w:color w:val="000000"/>
        <w:sz w:val="16"/>
        <w:lang w:val="pt-PT"/>
      </w:rPr>
      <w:t>202</w:t>
    </w:r>
    <w:r w:rsidR="00DB21D7">
      <w:rPr>
        <w:rFonts w:cs="Arial"/>
        <w:snapToGrid w:val="0"/>
        <w:color w:val="000000"/>
        <w:sz w:val="16"/>
        <w:lang w:val="pt-PT"/>
      </w:rPr>
      <w:t>5</w:t>
    </w:r>
    <w:r w:rsidRPr="00E15E77">
      <w:rPr>
        <w:rFonts w:cs="Arial"/>
        <w:snapToGrid w:val="0"/>
        <w:color w:val="000000"/>
        <w:sz w:val="16"/>
        <w:lang w:val="pt-PT"/>
      </w:rPr>
      <w:t xml:space="preserve"> CVS Caremark. </w:t>
    </w:r>
    <w:r w:rsidRPr="00EC47B6">
      <w:rPr>
        <w:rFonts w:cs="Arial"/>
        <w:snapToGrid w:val="0"/>
        <w:color w:val="000000"/>
        <w:sz w:val="16"/>
      </w:rPr>
      <w:t>All rights reserved.</w:t>
    </w:r>
  </w:p>
  <w:p w14:paraId="61CF5924" w14:textId="15CF4B63"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9C4182C" w:rsidR="00F75C81" w:rsidRPr="00DB21D7" w:rsidRDefault="00C36B72" w:rsidP="00DB21D7">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8F75736"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15E77">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BD1F4A" w:rsidRPr="00BD1F4A">
      <w:rPr>
        <w:rFonts w:cs="Arial"/>
        <w:noProof/>
        <w:sz w:val="16"/>
        <w:szCs w:val="16"/>
        <w:lang w:val="pt-PT"/>
      </w:rPr>
      <w:t>Zoladex</w:t>
    </w:r>
    <w:r w:rsidR="00BD1F4A">
      <w:rPr>
        <w:rFonts w:cs="Arial"/>
        <w:noProof/>
        <w:snapToGrid w:val="0"/>
        <w:color w:val="000000"/>
        <w:sz w:val="16"/>
        <w:szCs w:val="16"/>
        <w:lang w:val="pt-PT"/>
      </w:rPr>
      <w:t xml:space="preserve"> SGM 1918-A</w:t>
    </w:r>
    <w:r w:rsidR="00BD1F4A" w:rsidRPr="00BD1F4A">
      <w:rPr>
        <w:rFonts w:cs="Arial"/>
        <w:noProof/>
        <w:sz w:val="16"/>
        <w:szCs w:val="16"/>
        <w:lang w:val="pt-PT"/>
      </w:rPr>
      <w:t xml:space="preserve"> 6056-A</w:t>
    </w:r>
    <w:r w:rsidR="00BD1F4A">
      <w:rPr>
        <w:rFonts w:cs="Arial"/>
        <w:noProof/>
        <w:snapToGrid w:val="0"/>
        <w:color w:val="000000"/>
        <w:sz w:val="16"/>
        <w:szCs w:val="16"/>
        <w:lang w:val="pt-PT"/>
      </w:rPr>
      <w:t xml:space="preserve"> P2025.docx</w:t>
    </w:r>
    <w:r w:rsidRPr="00EC47B6">
      <w:rPr>
        <w:rFonts w:cs="Arial"/>
        <w:noProof/>
        <w:sz w:val="16"/>
        <w:szCs w:val="16"/>
      </w:rPr>
      <w:fldChar w:fldCharType="end"/>
    </w:r>
    <w:r w:rsidRPr="00E15E77">
      <w:rPr>
        <w:rFonts w:cs="Arial"/>
        <w:snapToGrid w:val="0"/>
        <w:color w:val="000000"/>
        <w:sz w:val="16"/>
        <w:lang w:val="pt-PT"/>
      </w:rPr>
      <w:tab/>
      <w:t xml:space="preserve">© </w:t>
    </w:r>
    <w:r w:rsidRPr="00E15E77">
      <w:rPr>
        <w:rFonts w:cs="Arial"/>
        <w:snapToGrid w:val="0"/>
        <w:color w:val="000000"/>
        <w:sz w:val="16"/>
        <w:lang w:val="pt-PT"/>
      </w:rPr>
      <w:t>202</w:t>
    </w:r>
    <w:r w:rsidR="00D84DE7">
      <w:rPr>
        <w:rFonts w:cs="Arial"/>
        <w:snapToGrid w:val="0"/>
        <w:color w:val="000000"/>
        <w:sz w:val="16"/>
        <w:lang w:val="pt-PT"/>
      </w:rPr>
      <w:t>5</w:t>
    </w:r>
    <w:r w:rsidRPr="00E15E77">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3DAC4B3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A6A1E5C" w:rsidR="00ED04EC" w:rsidRPr="000D2E79" w:rsidRDefault="00F50D98" w:rsidP="000D2E79">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09B03" w14:textId="77777777" w:rsidR="00F92820" w:rsidRDefault="00F92820">
      <w:r>
        <w:separator/>
      </w:r>
    </w:p>
  </w:footnote>
  <w:footnote w:type="continuationSeparator" w:id="0">
    <w:p w14:paraId="0004B32C" w14:textId="77777777" w:rsidR="00F92820" w:rsidRDefault="00F92820">
      <w:r>
        <w:continuationSeparator/>
      </w:r>
    </w:p>
  </w:footnote>
  <w:footnote w:type="continuationNotice" w:id="1">
    <w:p w14:paraId="5614B64F" w14:textId="77777777" w:rsidR="00F92820" w:rsidRDefault="00F928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E15E77" w:rsidRDefault="00ED04EC" w:rsidP="00ED04EC">
          <w:pPr>
            <w:pStyle w:val="Header"/>
            <w:rPr>
              <w:rFonts w:cs="Arial"/>
              <w:sz w:val="16"/>
              <w:szCs w:val="16"/>
            </w:rPr>
          </w:pPr>
          <w:r w:rsidRPr="00E15E77">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190A2C5A" w:rsidR="00ED04EC" w:rsidRPr="00E15E77" w:rsidRDefault="00CD1734" w:rsidP="00ED04EC">
          <w:pPr>
            <w:pStyle w:val="Header"/>
            <w:rPr>
              <w:rFonts w:cs="Arial"/>
              <w:sz w:val="16"/>
              <w:szCs w:val="16"/>
            </w:rPr>
          </w:pPr>
          <w:r w:rsidRPr="00E15E77">
            <w:rPr>
              <w:rFonts w:cs="Arial"/>
              <w:sz w:val="16"/>
              <w:szCs w:val="16"/>
            </w:rPr>
            <w:t>1918-A, 6056-A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1D1663" w:rsidRPr="00ED04EC" w14:paraId="61CCD704" w14:textId="77777777" w:rsidTr="00DD6885">
      <w:trPr>
        <w:trHeight w:val="144"/>
        <w:jc w:val="right"/>
      </w:trPr>
      <w:tc>
        <w:tcPr>
          <w:tcW w:w="1854" w:type="dxa"/>
          <w:hideMark/>
        </w:tcPr>
        <w:p w14:paraId="452CC6A1" w14:textId="77777777" w:rsidR="001D1663" w:rsidRPr="00E15E77" w:rsidRDefault="001D1663" w:rsidP="001D1663">
          <w:pPr>
            <w:pStyle w:val="Header"/>
            <w:rPr>
              <w:rFonts w:cs="Arial"/>
              <w:sz w:val="16"/>
              <w:szCs w:val="16"/>
            </w:rPr>
          </w:pPr>
          <w:r w:rsidRPr="00E15E77">
            <w:rPr>
              <w:rFonts w:cs="Arial"/>
              <w:sz w:val="16"/>
              <w:szCs w:val="16"/>
            </w:rPr>
            <w:t>Reference number(s)</w:t>
          </w:r>
        </w:p>
      </w:tc>
    </w:tr>
    <w:tr w:rsidR="001D1663" w:rsidRPr="00ED04EC" w14:paraId="605F6E15" w14:textId="77777777" w:rsidTr="00DD6885">
      <w:trPr>
        <w:trHeight w:val="378"/>
        <w:jc w:val="right"/>
      </w:trPr>
      <w:tc>
        <w:tcPr>
          <w:tcW w:w="1854" w:type="dxa"/>
          <w:hideMark/>
        </w:tcPr>
        <w:p w14:paraId="0A61AE11" w14:textId="77777777" w:rsidR="001D1663" w:rsidRPr="00E15E77" w:rsidRDefault="001D1663" w:rsidP="001D1663">
          <w:pPr>
            <w:pStyle w:val="Header"/>
            <w:rPr>
              <w:rFonts w:cs="Arial"/>
              <w:sz w:val="16"/>
              <w:szCs w:val="16"/>
            </w:rPr>
          </w:pPr>
          <w:r w:rsidRPr="00E15E77">
            <w:rPr>
              <w:rFonts w:cs="Arial"/>
              <w:sz w:val="16"/>
              <w:szCs w:val="16"/>
            </w:rPr>
            <w:t>1918-A, 6056-A</w:t>
          </w:r>
        </w:p>
      </w:tc>
    </w:tr>
  </w:tbl>
  <w:p w14:paraId="39852D6F" w14:textId="77777777" w:rsidR="001D1663" w:rsidRPr="001D1663" w:rsidRDefault="001D166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133A1A1A"/>
    <w:lvl w:ilvl="0" w:tplc="95F085F2">
      <w:start w:val="1"/>
      <w:numFmt w:val="decimal"/>
      <w:lvlText w:val="%1."/>
      <w:lvlJc w:val="left"/>
      <w:pPr>
        <w:ind w:left="1080" w:hanging="360"/>
      </w:pPr>
      <w:rPr>
        <w:rFonts w:ascii="Arial" w:hAnsi="Arial" w:cs="Arial"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49525B"/>
    <w:multiLevelType w:val="hybridMultilevel"/>
    <w:tmpl w:val="7F38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2C0E79"/>
    <w:multiLevelType w:val="hybridMultilevel"/>
    <w:tmpl w:val="4574C0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273E2137"/>
    <w:multiLevelType w:val="hybridMultilevel"/>
    <w:tmpl w:val="E1924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9D3992"/>
    <w:multiLevelType w:val="hybridMultilevel"/>
    <w:tmpl w:val="987EB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6F2572"/>
    <w:multiLevelType w:val="hybridMultilevel"/>
    <w:tmpl w:val="6B74D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186E10"/>
    <w:multiLevelType w:val="hybridMultilevel"/>
    <w:tmpl w:val="3704F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23130D"/>
    <w:multiLevelType w:val="hybridMultilevel"/>
    <w:tmpl w:val="0AB07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EB2373E"/>
    <w:multiLevelType w:val="hybridMultilevel"/>
    <w:tmpl w:val="E30E3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1"/>
  </w:num>
  <w:num w:numId="16" w16cid:durableId="898320195">
    <w:abstractNumId w:val="18"/>
  </w:num>
  <w:num w:numId="17" w16cid:durableId="2128498676">
    <w:abstractNumId w:val="25"/>
  </w:num>
  <w:num w:numId="18" w16cid:durableId="299724409">
    <w:abstractNumId w:val="22"/>
  </w:num>
  <w:num w:numId="19" w16cid:durableId="214585573">
    <w:abstractNumId w:val="16"/>
  </w:num>
  <w:num w:numId="20" w16cid:durableId="1066490929">
    <w:abstractNumId w:val="27"/>
  </w:num>
  <w:num w:numId="21" w16cid:durableId="523790762">
    <w:abstractNumId w:val="28"/>
  </w:num>
  <w:num w:numId="22" w16cid:durableId="1571577201">
    <w:abstractNumId w:val="12"/>
  </w:num>
  <w:num w:numId="23" w16cid:durableId="1634561104">
    <w:abstractNumId w:val="26"/>
  </w:num>
  <w:num w:numId="24" w16cid:durableId="1536892460">
    <w:abstractNumId w:val="19"/>
  </w:num>
  <w:num w:numId="25" w16cid:durableId="979310597">
    <w:abstractNumId w:val="17"/>
  </w:num>
  <w:num w:numId="26" w16cid:durableId="579682410">
    <w:abstractNumId w:val="23"/>
  </w:num>
  <w:num w:numId="27" w16cid:durableId="1590701601">
    <w:abstractNumId w:val="21"/>
  </w:num>
  <w:num w:numId="28" w16cid:durableId="54747598">
    <w:abstractNumId w:val="10"/>
  </w:num>
  <w:num w:numId="29" w16cid:durableId="66728760">
    <w:abstractNumId w:val="13"/>
  </w:num>
  <w:num w:numId="30" w16cid:durableId="387581988">
    <w:abstractNumId w:val="24"/>
  </w:num>
  <w:num w:numId="31" w16cid:durableId="1787692872">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285F"/>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3FA0"/>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115"/>
    <w:rsid w:val="0004226E"/>
    <w:rsid w:val="000425B0"/>
    <w:rsid w:val="00043056"/>
    <w:rsid w:val="000440A8"/>
    <w:rsid w:val="0004480D"/>
    <w:rsid w:val="00046912"/>
    <w:rsid w:val="00046BD3"/>
    <w:rsid w:val="00046C3C"/>
    <w:rsid w:val="0004753B"/>
    <w:rsid w:val="00047680"/>
    <w:rsid w:val="00047C5A"/>
    <w:rsid w:val="00050B10"/>
    <w:rsid w:val="00051356"/>
    <w:rsid w:val="00051699"/>
    <w:rsid w:val="000517FF"/>
    <w:rsid w:val="0005206D"/>
    <w:rsid w:val="00052785"/>
    <w:rsid w:val="00052989"/>
    <w:rsid w:val="00054212"/>
    <w:rsid w:val="00054638"/>
    <w:rsid w:val="0005467E"/>
    <w:rsid w:val="000548A4"/>
    <w:rsid w:val="000548E0"/>
    <w:rsid w:val="000554ED"/>
    <w:rsid w:val="00055897"/>
    <w:rsid w:val="000561B5"/>
    <w:rsid w:val="000564BC"/>
    <w:rsid w:val="00057358"/>
    <w:rsid w:val="00057C68"/>
    <w:rsid w:val="00057CD8"/>
    <w:rsid w:val="00060959"/>
    <w:rsid w:val="000609B8"/>
    <w:rsid w:val="00060E49"/>
    <w:rsid w:val="00062816"/>
    <w:rsid w:val="00064347"/>
    <w:rsid w:val="00064396"/>
    <w:rsid w:val="00065AC6"/>
    <w:rsid w:val="00066D4B"/>
    <w:rsid w:val="00067273"/>
    <w:rsid w:val="0006765E"/>
    <w:rsid w:val="00067732"/>
    <w:rsid w:val="0006774C"/>
    <w:rsid w:val="00070758"/>
    <w:rsid w:val="00070C48"/>
    <w:rsid w:val="000717F6"/>
    <w:rsid w:val="00071A7F"/>
    <w:rsid w:val="0007286F"/>
    <w:rsid w:val="000749E4"/>
    <w:rsid w:val="00074A77"/>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21C"/>
    <w:rsid w:val="000A34B0"/>
    <w:rsid w:val="000A3543"/>
    <w:rsid w:val="000A42D7"/>
    <w:rsid w:val="000A5AE5"/>
    <w:rsid w:val="000A71EC"/>
    <w:rsid w:val="000A744E"/>
    <w:rsid w:val="000A7D51"/>
    <w:rsid w:val="000B0F9D"/>
    <w:rsid w:val="000B104D"/>
    <w:rsid w:val="000B1961"/>
    <w:rsid w:val="000B2024"/>
    <w:rsid w:val="000B20CD"/>
    <w:rsid w:val="000B40A1"/>
    <w:rsid w:val="000B57DC"/>
    <w:rsid w:val="000B5871"/>
    <w:rsid w:val="000B5E31"/>
    <w:rsid w:val="000B6086"/>
    <w:rsid w:val="000B61D7"/>
    <w:rsid w:val="000B64CF"/>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2E79"/>
    <w:rsid w:val="000D31D7"/>
    <w:rsid w:val="000D39D5"/>
    <w:rsid w:val="000D3EDE"/>
    <w:rsid w:val="000D44C7"/>
    <w:rsid w:val="000D454D"/>
    <w:rsid w:val="000D4EA4"/>
    <w:rsid w:val="000D5101"/>
    <w:rsid w:val="000D5978"/>
    <w:rsid w:val="000D5D4B"/>
    <w:rsid w:val="000D7ED8"/>
    <w:rsid w:val="000E0438"/>
    <w:rsid w:val="000E095D"/>
    <w:rsid w:val="000E0C62"/>
    <w:rsid w:val="000E24FA"/>
    <w:rsid w:val="000E2ECC"/>
    <w:rsid w:val="000E37E4"/>
    <w:rsid w:val="000E395D"/>
    <w:rsid w:val="000E3A1B"/>
    <w:rsid w:val="000E3DD4"/>
    <w:rsid w:val="000E65C5"/>
    <w:rsid w:val="000E6D53"/>
    <w:rsid w:val="000E7263"/>
    <w:rsid w:val="000E7B01"/>
    <w:rsid w:val="000E7C60"/>
    <w:rsid w:val="000F0AC9"/>
    <w:rsid w:val="000F0BB0"/>
    <w:rsid w:val="000F1039"/>
    <w:rsid w:val="000F16AB"/>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64A"/>
    <w:rsid w:val="00104849"/>
    <w:rsid w:val="0010527A"/>
    <w:rsid w:val="001054B4"/>
    <w:rsid w:val="00105956"/>
    <w:rsid w:val="00107394"/>
    <w:rsid w:val="001074E7"/>
    <w:rsid w:val="001075C1"/>
    <w:rsid w:val="00107B1D"/>
    <w:rsid w:val="00110AF8"/>
    <w:rsid w:val="00110DE3"/>
    <w:rsid w:val="00110F57"/>
    <w:rsid w:val="00111842"/>
    <w:rsid w:val="001120B7"/>
    <w:rsid w:val="001128B9"/>
    <w:rsid w:val="0011411C"/>
    <w:rsid w:val="00115519"/>
    <w:rsid w:val="001155D7"/>
    <w:rsid w:val="001156BC"/>
    <w:rsid w:val="001159B3"/>
    <w:rsid w:val="0011622E"/>
    <w:rsid w:val="0011739F"/>
    <w:rsid w:val="00117495"/>
    <w:rsid w:val="0011772F"/>
    <w:rsid w:val="0011773C"/>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28C6"/>
    <w:rsid w:val="0014405C"/>
    <w:rsid w:val="0014413C"/>
    <w:rsid w:val="00144795"/>
    <w:rsid w:val="001448D4"/>
    <w:rsid w:val="00144B23"/>
    <w:rsid w:val="00144BEB"/>
    <w:rsid w:val="00144D3F"/>
    <w:rsid w:val="00145A96"/>
    <w:rsid w:val="00146C1A"/>
    <w:rsid w:val="001503F6"/>
    <w:rsid w:val="00150AFC"/>
    <w:rsid w:val="00151DA8"/>
    <w:rsid w:val="00152135"/>
    <w:rsid w:val="00153164"/>
    <w:rsid w:val="00154536"/>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2B6"/>
    <w:rsid w:val="00173AB9"/>
    <w:rsid w:val="001747DB"/>
    <w:rsid w:val="00174F3B"/>
    <w:rsid w:val="00175464"/>
    <w:rsid w:val="00175B12"/>
    <w:rsid w:val="00175F8E"/>
    <w:rsid w:val="00176167"/>
    <w:rsid w:val="001765D6"/>
    <w:rsid w:val="00176A70"/>
    <w:rsid w:val="0017701E"/>
    <w:rsid w:val="00177020"/>
    <w:rsid w:val="001777AD"/>
    <w:rsid w:val="0018072F"/>
    <w:rsid w:val="00180A53"/>
    <w:rsid w:val="00181BB0"/>
    <w:rsid w:val="00182BBD"/>
    <w:rsid w:val="00182C96"/>
    <w:rsid w:val="001837BD"/>
    <w:rsid w:val="00183B46"/>
    <w:rsid w:val="0018407F"/>
    <w:rsid w:val="0018562F"/>
    <w:rsid w:val="0018575D"/>
    <w:rsid w:val="0018586D"/>
    <w:rsid w:val="001858C6"/>
    <w:rsid w:val="00185A9C"/>
    <w:rsid w:val="00185C58"/>
    <w:rsid w:val="00186758"/>
    <w:rsid w:val="001873ED"/>
    <w:rsid w:val="00187BCC"/>
    <w:rsid w:val="00190200"/>
    <w:rsid w:val="0019091E"/>
    <w:rsid w:val="001914C8"/>
    <w:rsid w:val="001916D1"/>
    <w:rsid w:val="00191904"/>
    <w:rsid w:val="00192769"/>
    <w:rsid w:val="001933EE"/>
    <w:rsid w:val="001934D5"/>
    <w:rsid w:val="00193696"/>
    <w:rsid w:val="00194127"/>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67A8"/>
    <w:rsid w:val="001A7761"/>
    <w:rsid w:val="001B13DF"/>
    <w:rsid w:val="001B3C2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0B2"/>
    <w:rsid w:val="001C7176"/>
    <w:rsid w:val="001C7A14"/>
    <w:rsid w:val="001D003B"/>
    <w:rsid w:val="001D009C"/>
    <w:rsid w:val="001D0E3C"/>
    <w:rsid w:val="001D11DC"/>
    <w:rsid w:val="001D164A"/>
    <w:rsid w:val="001D1663"/>
    <w:rsid w:val="001D1698"/>
    <w:rsid w:val="001D202E"/>
    <w:rsid w:val="001D2253"/>
    <w:rsid w:val="001D2E27"/>
    <w:rsid w:val="001D3206"/>
    <w:rsid w:val="001D36C8"/>
    <w:rsid w:val="001D4343"/>
    <w:rsid w:val="001D536B"/>
    <w:rsid w:val="001D56F3"/>
    <w:rsid w:val="001D595E"/>
    <w:rsid w:val="001D5AA2"/>
    <w:rsid w:val="001D694B"/>
    <w:rsid w:val="001D788C"/>
    <w:rsid w:val="001D7B26"/>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75C"/>
    <w:rsid w:val="00211DE1"/>
    <w:rsid w:val="00212062"/>
    <w:rsid w:val="00213310"/>
    <w:rsid w:val="002134FD"/>
    <w:rsid w:val="002140F4"/>
    <w:rsid w:val="0021437E"/>
    <w:rsid w:val="0021440B"/>
    <w:rsid w:val="0021446F"/>
    <w:rsid w:val="002155CC"/>
    <w:rsid w:val="00215A86"/>
    <w:rsid w:val="00215B40"/>
    <w:rsid w:val="002173D5"/>
    <w:rsid w:val="0022007C"/>
    <w:rsid w:val="00220916"/>
    <w:rsid w:val="00220B8D"/>
    <w:rsid w:val="00220E02"/>
    <w:rsid w:val="00221054"/>
    <w:rsid w:val="002211B9"/>
    <w:rsid w:val="00221310"/>
    <w:rsid w:val="00221466"/>
    <w:rsid w:val="00221ABB"/>
    <w:rsid w:val="00222059"/>
    <w:rsid w:val="0022289B"/>
    <w:rsid w:val="002230C2"/>
    <w:rsid w:val="002232EB"/>
    <w:rsid w:val="00223B3B"/>
    <w:rsid w:val="002243D0"/>
    <w:rsid w:val="002244E4"/>
    <w:rsid w:val="00224DC4"/>
    <w:rsid w:val="00226F8F"/>
    <w:rsid w:val="002277CB"/>
    <w:rsid w:val="002303E5"/>
    <w:rsid w:val="00230D83"/>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312F"/>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66B"/>
    <w:rsid w:val="00261738"/>
    <w:rsid w:val="00261F81"/>
    <w:rsid w:val="0026235F"/>
    <w:rsid w:val="00262630"/>
    <w:rsid w:val="00262CE0"/>
    <w:rsid w:val="0026318E"/>
    <w:rsid w:val="00263D81"/>
    <w:rsid w:val="00263F1D"/>
    <w:rsid w:val="00264713"/>
    <w:rsid w:val="00265457"/>
    <w:rsid w:val="00265727"/>
    <w:rsid w:val="00265B2A"/>
    <w:rsid w:val="00265E1F"/>
    <w:rsid w:val="00265FEB"/>
    <w:rsid w:val="0026630E"/>
    <w:rsid w:val="0026796B"/>
    <w:rsid w:val="00267A34"/>
    <w:rsid w:val="00267A90"/>
    <w:rsid w:val="002708AE"/>
    <w:rsid w:val="00271357"/>
    <w:rsid w:val="00272160"/>
    <w:rsid w:val="00272D78"/>
    <w:rsid w:val="00273E66"/>
    <w:rsid w:val="00273FEB"/>
    <w:rsid w:val="0027496D"/>
    <w:rsid w:val="002754FA"/>
    <w:rsid w:val="00275B83"/>
    <w:rsid w:val="00276114"/>
    <w:rsid w:val="0027637A"/>
    <w:rsid w:val="002763A4"/>
    <w:rsid w:val="002765AF"/>
    <w:rsid w:val="00276A88"/>
    <w:rsid w:val="00276AF9"/>
    <w:rsid w:val="00277212"/>
    <w:rsid w:val="002773DB"/>
    <w:rsid w:val="00277791"/>
    <w:rsid w:val="002777DF"/>
    <w:rsid w:val="002807CC"/>
    <w:rsid w:val="00280C69"/>
    <w:rsid w:val="00280EC5"/>
    <w:rsid w:val="00281775"/>
    <w:rsid w:val="00281A75"/>
    <w:rsid w:val="00281F6C"/>
    <w:rsid w:val="0028234F"/>
    <w:rsid w:val="00283593"/>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4AEB"/>
    <w:rsid w:val="002965CE"/>
    <w:rsid w:val="00296EC3"/>
    <w:rsid w:val="00297405"/>
    <w:rsid w:val="002A02BE"/>
    <w:rsid w:val="002A0A3B"/>
    <w:rsid w:val="002A0DB7"/>
    <w:rsid w:val="002A0F12"/>
    <w:rsid w:val="002A1602"/>
    <w:rsid w:val="002A1A1C"/>
    <w:rsid w:val="002A245D"/>
    <w:rsid w:val="002A3293"/>
    <w:rsid w:val="002A3CC2"/>
    <w:rsid w:val="002A529C"/>
    <w:rsid w:val="002A58FA"/>
    <w:rsid w:val="002A6B25"/>
    <w:rsid w:val="002A6B4B"/>
    <w:rsid w:val="002A6CA0"/>
    <w:rsid w:val="002A70D8"/>
    <w:rsid w:val="002B0460"/>
    <w:rsid w:val="002B06CF"/>
    <w:rsid w:val="002B07EA"/>
    <w:rsid w:val="002B0B5F"/>
    <w:rsid w:val="002B0F69"/>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7AB"/>
    <w:rsid w:val="002D49E5"/>
    <w:rsid w:val="002D6257"/>
    <w:rsid w:val="002D6987"/>
    <w:rsid w:val="002D6C16"/>
    <w:rsid w:val="002E030E"/>
    <w:rsid w:val="002E06B0"/>
    <w:rsid w:val="002E15A0"/>
    <w:rsid w:val="002E1D9A"/>
    <w:rsid w:val="002E254D"/>
    <w:rsid w:val="002E362E"/>
    <w:rsid w:val="002E3C61"/>
    <w:rsid w:val="002E3D87"/>
    <w:rsid w:val="002E5C63"/>
    <w:rsid w:val="002E6AE1"/>
    <w:rsid w:val="002E7264"/>
    <w:rsid w:val="002F1388"/>
    <w:rsid w:val="002F23BB"/>
    <w:rsid w:val="002F2F84"/>
    <w:rsid w:val="002F2FA8"/>
    <w:rsid w:val="002F311C"/>
    <w:rsid w:val="002F335A"/>
    <w:rsid w:val="002F5F01"/>
    <w:rsid w:val="002F6300"/>
    <w:rsid w:val="0030016D"/>
    <w:rsid w:val="00301B6E"/>
    <w:rsid w:val="00301B8E"/>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2EC"/>
    <w:rsid w:val="00315D6F"/>
    <w:rsid w:val="00316DC1"/>
    <w:rsid w:val="00320652"/>
    <w:rsid w:val="003213DE"/>
    <w:rsid w:val="00321446"/>
    <w:rsid w:val="00322EB1"/>
    <w:rsid w:val="00323534"/>
    <w:rsid w:val="003242E2"/>
    <w:rsid w:val="003254F4"/>
    <w:rsid w:val="00325919"/>
    <w:rsid w:val="003262EA"/>
    <w:rsid w:val="003263EC"/>
    <w:rsid w:val="0032667A"/>
    <w:rsid w:val="0032670A"/>
    <w:rsid w:val="00326990"/>
    <w:rsid w:val="00327428"/>
    <w:rsid w:val="00327C29"/>
    <w:rsid w:val="00330E29"/>
    <w:rsid w:val="003319A7"/>
    <w:rsid w:val="00332104"/>
    <w:rsid w:val="00332261"/>
    <w:rsid w:val="0033231E"/>
    <w:rsid w:val="0033351E"/>
    <w:rsid w:val="00333878"/>
    <w:rsid w:val="00333EE7"/>
    <w:rsid w:val="00333FEE"/>
    <w:rsid w:val="00334451"/>
    <w:rsid w:val="003357AB"/>
    <w:rsid w:val="00336182"/>
    <w:rsid w:val="003363E7"/>
    <w:rsid w:val="003364EB"/>
    <w:rsid w:val="00336990"/>
    <w:rsid w:val="0034083D"/>
    <w:rsid w:val="003409BE"/>
    <w:rsid w:val="00340B83"/>
    <w:rsid w:val="00341929"/>
    <w:rsid w:val="00341F47"/>
    <w:rsid w:val="00342365"/>
    <w:rsid w:val="00343BE2"/>
    <w:rsid w:val="00343E90"/>
    <w:rsid w:val="00344571"/>
    <w:rsid w:val="00345D48"/>
    <w:rsid w:val="003468AA"/>
    <w:rsid w:val="00346D5D"/>
    <w:rsid w:val="00347C02"/>
    <w:rsid w:val="00347EC3"/>
    <w:rsid w:val="00350DF1"/>
    <w:rsid w:val="003524E5"/>
    <w:rsid w:val="00352959"/>
    <w:rsid w:val="00352B5E"/>
    <w:rsid w:val="00352BC7"/>
    <w:rsid w:val="003536AA"/>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4C3"/>
    <w:rsid w:val="00372A21"/>
    <w:rsid w:val="00372FCD"/>
    <w:rsid w:val="0037333D"/>
    <w:rsid w:val="00374540"/>
    <w:rsid w:val="003753D0"/>
    <w:rsid w:val="003756FF"/>
    <w:rsid w:val="0037580F"/>
    <w:rsid w:val="0037664E"/>
    <w:rsid w:val="003777A6"/>
    <w:rsid w:val="00377D50"/>
    <w:rsid w:val="00381B05"/>
    <w:rsid w:val="00381B16"/>
    <w:rsid w:val="00381D03"/>
    <w:rsid w:val="0038248C"/>
    <w:rsid w:val="003829C8"/>
    <w:rsid w:val="00382C29"/>
    <w:rsid w:val="00382C85"/>
    <w:rsid w:val="0038309E"/>
    <w:rsid w:val="00384D85"/>
    <w:rsid w:val="0038594B"/>
    <w:rsid w:val="00385C81"/>
    <w:rsid w:val="00386F82"/>
    <w:rsid w:val="00387775"/>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0AA2"/>
    <w:rsid w:val="003A2056"/>
    <w:rsid w:val="003A254A"/>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352F"/>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919"/>
    <w:rsid w:val="00431A2D"/>
    <w:rsid w:val="00431D2B"/>
    <w:rsid w:val="00431EB7"/>
    <w:rsid w:val="00433A31"/>
    <w:rsid w:val="00433E3A"/>
    <w:rsid w:val="00433E47"/>
    <w:rsid w:val="00433EE2"/>
    <w:rsid w:val="0043515D"/>
    <w:rsid w:val="004357BB"/>
    <w:rsid w:val="00435A60"/>
    <w:rsid w:val="00437BFC"/>
    <w:rsid w:val="00437D53"/>
    <w:rsid w:val="004405EB"/>
    <w:rsid w:val="0044080D"/>
    <w:rsid w:val="00440CEF"/>
    <w:rsid w:val="004414E5"/>
    <w:rsid w:val="004414EF"/>
    <w:rsid w:val="00441BD2"/>
    <w:rsid w:val="004421AD"/>
    <w:rsid w:val="00442948"/>
    <w:rsid w:val="00442B17"/>
    <w:rsid w:val="0044300A"/>
    <w:rsid w:val="00443512"/>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1B29"/>
    <w:rsid w:val="00452B20"/>
    <w:rsid w:val="00453D7B"/>
    <w:rsid w:val="004548ED"/>
    <w:rsid w:val="00454A31"/>
    <w:rsid w:val="00456003"/>
    <w:rsid w:val="00456A47"/>
    <w:rsid w:val="00456AF4"/>
    <w:rsid w:val="00456D07"/>
    <w:rsid w:val="0045790D"/>
    <w:rsid w:val="00457BC4"/>
    <w:rsid w:val="00460001"/>
    <w:rsid w:val="00460375"/>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151"/>
    <w:rsid w:val="00475D6D"/>
    <w:rsid w:val="004763E4"/>
    <w:rsid w:val="00476490"/>
    <w:rsid w:val="0047697B"/>
    <w:rsid w:val="00476C5C"/>
    <w:rsid w:val="00477751"/>
    <w:rsid w:val="00477BDA"/>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85F"/>
    <w:rsid w:val="00487DA7"/>
    <w:rsid w:val="00487FF5"/>
    <w:rsid w:val="00490862"/>
    <w:rsid w:val="0049110A"/>
    <w:rsid w:val="00491AAF"/>
    <w:rsid w:val="00492DA6"/>
    <w:rsid w:val="004932BB"/>
    <w:rsid w:val="00493AED"/>
    <w:rsid w:val="00494054"/>
    <w:rsid w:val="00494B52"/>
    <w:rsid w:val="00495AB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5E5C"/>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070B"/>
    <w:rsid w:val="004D1409"/>
    <w:rsid w:val="004D1852"/>
    <w:rsid w:val="004D1AAF"/>
    <w:rsid w:val="004D24E3"/>
    <w:rsid w:val="004D25DC"/>
    <w:rsid w:val="004D2D1C"/>
    <w:rsid w:val="004D2EAF"/>
    <w:rsid w:val="004D393C"/>
    <w:rsid w:val="004D4045"/>
    <w:rsid w:val="004D4171"/>
    <w:rsid w:val="004D4B8D"/>
    <w:rsid w:val="004D4C72"/>
    <w:rsid w:val="004D4FFD"/>
    <w:rsid w:val="004D67AC"/>
    <w:rsid w:val="004D696E"/>
    <w:rsid w:val="004E0DA9"/>
    <w:rsid w:val="004E16CE"/>
    <w:rsid w:val="004E197E"/>
    <w:rsid w:val="004E1CD5"/>
    <w:rsid w:val="004E1EEE"/>
    <w:rsid w:val="004E407D"/>
    <w:rsid w:val="004E46E5"/>
    <w:rsid w:val="004E4FB7"/>
    <w:rsid w:val="004E563C"/>
    <w:rsid w:val="004E69C5"/>
    <w:rsid w:val="004E6C9B"/>
    <w:rsid w:val="004E6FA5"/>
    <w:rsid w:val="004F05C9"/>
    <w:rsid w:val="004F0A1D"/>
    <w:rsid w:val="004F1A5E"/>
    <w:rsid w:val="004F2E2A"/>
    <w:rsid w:val="004F34F0"/>
    <w:rsid w:val="004F34FF"/>
    <w:rsid w:val="004F37F3"/>
    <w:rsid w:val="004F3F44"/>
    <w:rsid w:val="004F440F"/>
    <w:rsid w:val="004F457C"/>
    <w:rsid w:val="004F46AD"/>
    <w:rsid w:val="004F4C56"/>
    <w:rsid w:val="004F4F14"/>
    <w:rsid w:val="004F5885"/>
    <w:rsid w:val="004F5DCE"/>
    <w:rsid w:val="004F6833"/>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2510"/>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2FF"/>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1A0A"/>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0A4D"/>
    <w:rsid w:val="00571574"/>
    <w:rsid w:val="005724E9"/>
    <w:rsid w:val="0057290E"/>
    <w:rsid w:val="00572BE3"/>
    <w:rsid w:val="00572C22"/>
    <w:rsid w:val="00573A1F"/>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1300"/>
    <w:rsid w:val="00592393"/>
    <w:rsid w:val="00592474"/>
    <w:rsid w:val="0059286F"/>
    <w:rsid w:val="00592BC7"/>
    <w:rsid w:val="00592F54"/>
    <w:rsid w:val="00593641"/>
    <w:rsid w:val="00593EBB"/>
    <w:rsid w:val="00596960"/>
    <w:rsid w:val="005970A9"/>
    <w:rsid w:val="00597406"/>
    <w:rsid w:val="00597579"/>
    <w:rsid w:val="00597BF2"/>
    <w:rsid w:val="005A015C"/>
    <w:rsid w:val="005A04AA"/>
    <w:rsid w:val="005A09BB"/>
    <w:rsid w:val="005A0E43"/>
    <w:rsid w:val="005A32D3"/>
    <w:rsid w:val="005A33BD"/>
    <w:rsid w:val="005A38D9"/>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07F"/>
    <w:rsid w:val="005B425D"/>
    <w:rsid w:val="005B496D"/>
    <w:rsid w:val="005B52C4"/>
    <w:rsid w:val="005B79B1"/>
    <w:rsid w:val="005C026B"/>
    <w:rsid w:val="005C194C"/>
    <w:rsid w:val="005C2667"/>
    <w:rsid w:val="005C295A"/>
    <w:rsid w:val="005C2C21"/>
    <w:rsid w:val="005C3800"/>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5FA"/>
    <w:rsid w:val="005D47B9"/>
    <w:rsid w:val="005D5FBB"/>
    <w:rsid w:val="005D6B49"/>
    <w:rsid w:val="005D7081"/>
    <w:rsid w:val="005D72EF"/>
    <w:rsid w:val="005D7947"/>
    <w:rsid w:val="005D7EA2"/>
    <w:rsid w:val="005E0BD2"/>
    <w:rsid w:val="005E1266"/>
    <w:rsid w:val="005E267D"/>
    <w:rsid w:val="005E2BF1"/>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3F"/>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97E"/>
    <w:rsid w:val="00610F93"/>
    <w:rsid w:val="00610FBE"/>
    <w:rsid w:val="00613278"/>
    <w:rsid w:val="006138E0"/>
    <w:rsid w:val="00613BFA"/>
    <w:rsid w:val="006144C4"/>
    <w:rsid w:val="00614799"/>
    <w:rsid w:val="00615D0E"/>
    <w:rsid w:val="0061673E"/>
    <w:rsid w:val="006174EA"/>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0269"/>
    <w:rsid w:val="00631305"/>
    <w:rsid w:val="00631F71"/>
    <w:rsid w:val="006328A6"/>
    <w:rsid w:val="00633181"/>
    <w:rsid w:val="0063323B"/>
    <w:rsid w:val="0063336C"/>
    <w:rsid w:val="00633471"/>
    <w:rsid w:val="00633B1C"/>
    <w:rsid w:val="00633C00"/>
    <w:rsid w:val="006349A7"/>
    <w:rsid w:val="00634C01"/>
    <w:rsid w:val="00634DD7"/>
    <w:rsid w:val="00634EA3"/>
    <w:rsid w:val="00635024"/>
    <w:rsid w:val="00635717"/>
    <w:rsid w:val="00636D27"/>
    <w:rsid w:val="0063736B"/>
    <w:rsid w:val="006374D1"/>
    <w:rsid w:val="00637A04"/>
    <w:rsid w:val="00637D18"/>
    <w:rsid w:val="0064175A"/>
    <w:rsid w:val="00642734"/>
    <w:rsid w:val="00642971"/>
    <w:rsid w:val="00642BEF"/>
    <w:rsid w:val="006434FA"/>
    <w:rsid w:val="00643E65"/>
    <w:rsid w:val="00643E90"/>
    <w:rsid w:val="006442D1"/>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3D98"/>
    <w:rsid w:val="006647E9"/>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354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2E0D"/>
    <w:rsid w:val="00693B34"/>
    <w:rsid w:val="00694A62"/>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B7728"/>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1A7A"/>
    <w:rsid w:val="00721E97"/>
    <w:rsid w:val="007230D3"/>
    <w:rsid w:val="0072348D"/>
    <w:rsid w:val="007242A5"/>
    <w:rsid w:val="0072615B"/>
    <w:rsid w:val="007267CF"/>
    <w:rsid w:val="00727843"/>
    <w:rsid w:val="0073079A"/>
    <w:rsid w:val="00731462"/>
    <w:rsid w:val="00731FCA"/>
    <w:rsid w:val="007325C8"/>
    <w:rsid w:val="00732B93"/>
    <w:rsid w:val="0073324D"/>
    <w:rsid w:val="0073362E"/>
    <w:rsid w:val="00735381"/>
    <w:rsid w:val="007363FE"/>
    <w:rsid w:val="00736D6F"/>
    <w:rsid w:val="0074014C"/>
    <w:rsid w:val="00741656"/>
    <w:rsid w:val="00741E80"/>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1B15"/>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5E16"/>
    <w:rsid w:val="007775AA"/>
    <w:rsid w:val="00777708"/>
    <w:rsid w:val="007778B0"/>
    <w:rsid w:val="00777BDA"/>
    <w:rsid w:val="00781D02"/>
    <w:rsid w:val="007828E3"/>
    <w:rsid w:val="00782BB0"/>
    <w:rsid w:val="007831D6"/>
    <w:rsid w:val="00784E89"/>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C0C"/>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B6E"/>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77A"/>
    <w:rsid w:val="007D1C72"/>
    <w:rsid w:val="007D1E64"/>
    <w:rsid w:val="007D223D"/>
    <w:rsid w:val="007D3BE5"/>
    <w:rsid w:val="007D5130"/>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3B98"/>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3E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4C83"/>
    <w:rsid w:val="008254BC"/>
    <w:rsid w:val="00826FDC"/>
    <w:rsid w:val="008308BE"/>
    <w:rsid w:val="00830CE5"/>
    <w:rsid w:val="00831284"/>
    <w:rsid w:val="008313C2"/>
    <w:rsid w:val="00832520"/>
    <w:rsid w:val="00832E80"/>
    <w:rsid w:val="00832EB5"/>
    <w:rsid w:val="00832F22"/>
    <w:rsid w:val="0083565A"/>
    <w:rsid w:val="00835A0B"/>
    <w:rsid w:val="008409AE"/>
    <w:rsid w:val="00840EA7"/>
    <w:rsid w:val="008428E1"/>
    <w:rsid w:val="00842966"/>
    <w:rsid w:val="00842F87"/>
    <w:rsid w:val="008432CC"/>
    <w:rsid w:val="00843CE4"/>
    <w:rsid w:val="0084425F"/>
    <w:rsid w:val="008445A6"/>
    <w:rsid w:val="00844E79"/>
    <w:rsid w:val="008465D2"/>
    <w:rsid w:val="00850792"/>
    <w:rsid w:val="0085298F"/>
    <w:rsid w:val="00852FA8"/>
    <w:rsid w:val="0085356E"/>
    <w:rsid w:val="00853AF4"/>
    <w:rsid w:val="00853E9B"/>
    <w:rsid w:val="008541E9"/>
    <w:rsid w:val="00854230"/>
    <w:rsid w:val="00854C30"/>
    <w:rsid w:val="00854C99"/>
    <w:rsid w:val="008555AD"/>
    <w:rsid w:val="008571AA"/>
    <w:rsid w:val="00860962"/>
    <w:rsid w:val="00860966"/>
    <w:rsid w:val="00860CBD"/>
    <w:rsid w:val="00860E69"/>
    <w:rsid w:val="00861CA3"/>
    <w:rsid w:val="00861DD6"/>
    <w:rsid w:val="00861F40"/>
    <w:rsid w:val="00863211"/>
    <w:rsid w:val="00863541"/>
    <w:rsid w:val="008646F4"/>
    <w:rsid w:val="00864778"/>
    <w:rsid w:val="00866B5D"/>
    <w:rsid w:val="00866BCA"/>
    <w:rsid w:val="00866CFE"/>
    <w:rsid w:val="00871B95"/>
    <w:rsid w:val="00872199"/>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1E15"/>
    <w:rsid w:val="00892A08"/>
    <w:rsid w:val="008943CF"/>
    <w:rsid w:val="008945D6"/>
    <w:rsid w:val="00895C0F"/>
    <w:rsid w:val="00895D84"/>
    <w:rsid w:val="00895FE5"/>
    <w:rsid w:val="00896FAB"/>
    <w:rsid w:val="008973E6"/>
    <w:rsid w:val="00897778"/>
    <w:rsid w:val="00897A39"/>
    <w:rsid w:val="00897BD4"/>
    <w:rsid w:val="008A08A4"/>
    <w:rsid w:val="008A15EC"/>
    <w:rsid w:val="008A4526"/>
    <w:rsid w:val="008A4B15"/>
    <w:rsid w:val="008A4CB3"/>
    <w:rsid w:val="008A4FDA"/>
    <w:rsid w:val="008A54AF"/>
    <w:rsid w:val="008A56FD"/>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374"/>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6E5F"/>
    <w:rsid w:val="008E7659"/>
    <w:rsid w:val="008E7F9D"/>
    <w:rsid w:val="008F05DE"/>
    <w:rsid w:val="008F09AE"/>
    <w:rsid w:val="008F0AC3"/>
    <w:rsid w:val="008F173A"/>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3DA5"/>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2B75"/>
    <w:rsid w:val="00914B83"/>
    <w:rsid w:val="009159E4"/>
    <w:rsid w:val="00916493"/>
    <w:rsid w:val="009166D3"/>
    <w:rsid w:val="00916BA8"/>
    <w:rsid w:val="0092167E"/>
    <w:rsid w:val="00921E32"/>
    <w:rsid w:val="00921E89"/>
    <w:rsid w:val="00922097"/>
    <w:rsid w:val="009220E9"/>
    <w:rsid w:val="00922DD4"/>
    <w:rsid w:val="00923BE9"/>
    <w:rsid w:val="00923E67"/>
    <w:rsid w:val="00923E96"/>
    <w:rsid w:val="0092448D"/>
    <w:rsid w:val="00924AA3"/>
    <w:rsid w:val="00924B04"/>
    <w:rsid w:val="009255FA"/>
    <w:rsid w:val="00925647"/>
    <w:rsid w:val="0092652E"/>
    <w:rsid w:val="00926589"/>
    <w:rsid w:val="0092691D"/>
    <w:rsid w:val="00927612"/>
    <w:rsid w:val="00927737"/>
    <w:rsid w:val="00930F9F"/>
    <w:rsid w:val="00930FF5"/>
    <w:rsid w:val="00931D1D"/>
    <w:rsid w:val="00931D32"/>
    <w:rsid w:val="00932100"/>
    <w:rsid w:val="009323E1"/>
    <w:rsid w:val="009324A8"/>
    <w:rsid w:val="00932532"/>
    <w:rsid w:val="00934A46"/>
    <w:rsid w:val="00935411"/>
    <w:rsid w:val="00935BC3"/>
    <w:rsid w:val="00937266"/>
    <w:rsid w:val="00940A0C"/>
    <w:rsid w:val="00940AA9"/>
    <w:rsid w:val="00941264"/>
    <w:rsid w:val="0094143E"/>
    <w:rsid w:val="0094296E"/>
    <w:rsid w:val="0094298C"/>
    <w:rsid w:val="009434E1"/>
    <w:rsid w:val="0094553A"/>
    <w:rsid w:val="0094664F"/>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4A7"/>
    <w:rsid w:val="009708F2"/>
    <w:rsid w:val="00970D2C"/>
    <w:rsid w:val="00971292"/>
    <w:rsid w:val="00971AAF"/>
    <w:rsid w:val="00971F37"/>
    <w:rsid w:val="00972284"/>
    <w:rsid w:val="0097384C"/>
    <w:rsid w:val="009738C0"/>
    <w:rsid w:val="00974ED3"/>
    <w:rsid w:val="0097583A"/>
    <w:rsid w:val="00975E36"/>
    <w:rsid w:val="009767B4"/>
    <w:rsid w:val="00976A11"/>
    <w:rsid w:val="009774E6"/>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1775"/>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2D4C"/>
    <w:rsid w:val="009B35DC"/>
    <w:rsid w:val="009B3740"/>
    <w:rsid w:val="009B579E"/>
    <w:rsid w:val="009B5866"/>
    <w:rsid w:val="009B5A24"/>
    <w:rsid w:val="009B6153"/>
    <w:rsid w:val="009B7708"/>
    <w:rsid w:val="009C0A23"/>
    <w:rsid w:val="009C2E32"/>
    <w:rsid w:val="009C3C50"/>
    <w:rsid w:val="009C4B9D"/>
    <w:rsid w:val="009C4DB7"/>
    <w:rsid w:val="009C4E1E"/>
    <w:rsid w:val="009C595B"/>
    <w:rsid w:val="009C6673"/>
    <w:rsid w:val="009C6CB5"/>
    <w:rsid w:val="009C6CFE"/>
    <w:rsid w:val="009C7D3E"/>
    <w:rsid w:val="009D0B0C"/>
    <w:rsid w:val="009D0C24"/>
    <w:rsid w:val="009D0C37"/>
    <w:rsid w:val="009D2D63"/>
    <w:rsid w:val="009D31D0"/>
    <w:rsid w:val="009D60F4"/>
    <w:rsid w:val="009D6686"/>
    <w:rsid w:val="009D6C0F"/>
    <w:rsid w:val="009D6D3D"/>
    <w:rsid w:val="009D7037"/>
    <w:rsid w:val="009D71AB"/>
    <w:rsid w:val="009D72AF"/>
    <w:rsid w:val="009D7595"/>
    <w:rsid w:val="009D7679"/>
    <w:rsid w:val="009D7C0C"/>
    <w:rsid w:val="009D7F0B"/>
    <w:rsid w:val="009E1F57"/>
    <w:rsid w:val="009E20EB"/>
    <w:rsid w:val="009E435B"/>
    <w:rsid w:val="009E489A"/>
    <w:rsid w:val="009E4C90"/>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4333"/>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B5C"/>
    <w:rsid w:val="00A37EFC"/>
    <w:rsid w:val="00A40451"/>
    <w:rsid w:val="00A40764"/>
    <w:rsid w:val="00A40A9D"/>
    <w:rsid w:val="00A412F8"/>
    <w:rsid w:val="00A41637"/>
    <w:rsid w:val="00A41972"/>
    <w:rsid w:val="00A41BCD"/>
    <w:rsid w:val="00A41D75"/>
    <w:rsid w:val="00A43152"/>
    <w:rsid w:val="00A44E8E"/>
    <w:rsid w:val="00A45E92"/>
    <w:rsid w:val="00A46BED"/>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FF"/>
    <w:rsid w:val="00A57245"/>
    <w:rsid w:val="00A6026F"/>
    <w:rsid w:val="00A60656"/>
    <w:rsid w:val="00A60BB2"/>
    <w:rsid w:val="00A614D8"/>
    <w:rsid w:val="00A61592"/>
    <w:rsid w:val="00A618ED"/>
    <w:rsid w:val="00A61B9A"/>
    <w:rsid w:val="00A61E26"/>
    <w:rsid w:val="00A61FC3"/>
    <w:rsid w:val="00A655D6"/>
    <w:rsid w:val="00A656CE"/>
    <w:rsid w:val="00A656E4"/>
    <w:rsid w:val="00A661A9"/>
    <w:rsid w:val="00A66B5B"/>
    <w:rsid w:val="00A66E07"/>
    <w:rsid w:val="00A672B3"/>
    <w:rsid w:val="00A676CB"/>
    <w:rsid w:val="00A67BE5"/>
    <w:rsid w:val="00A700CD"/>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18AB"/>
    <w:rsid w:val="00A82509"/>
    <w:rsid w:val="00A82DDB"/>
    <w:rsid w:val="00A8333D"/>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2A94"/>
    <w:rsid w:val="00AA3F55"/>
    <w:rsid w:val="00AA46E5"/>
    <w:rsid w:val="00AA46E6"/>
    <w:rsid w:val="00AA472A"/>
    <w:rsid w:val="00AA4E3C"/>
    <w:rsid w:val="00AA58CD"/>
    <w:rsid w:val="00AA5FEE"/>
    <w:rsid w:val="00AA6624"/>
    <w:rsid w:val="00AA6E94"/>
    <w:rsid w:val="00AA7BC6"/>
    <w:rsid w:val="00AA7D6B"/>
    <w:rsid w:val="00AB03C3"/>
    <w:rsid w:val="00AB060C"/>
    <w:rsid w:val="00AB07BF"/>
    <w:rsid w:val="00AB0812"/>
    <w:rsid w:val="00AB09BC"/>
    <w:rsid w:val="00AB12D9"/>
    <w:rsid w:val="00AB1987"/>
    <w:rsid w:val="00AB2685"/>
    <w:rsid w:val="00AB2732"/>
    <w:rsid w:val="00AB299D"/>
    <w:rsid w:val="00AB2BF1"/>
    <w:rsid w:val="00AB3600"/>
    <w:rsid w:val="00AB3A4C"/>
    <w:rsid w:val="00AB3ACD"/>
    <w:rsid w:val="00AB3B7A"/>
    <w:rsid w:val="00AB48F8"/>
    <w:rsid w:val="00AB52F7"/>
    <w:rsid w:val="00AB5F0B"/>
    <w:rsid w:val="00AB6199"/>
    <w:rsid w:val="00AB67A6"/>
    <w:rsid w:val="00AB6C64"/>
    <w:rsid w:val="00AB7A2F"/>
    <w:rsid w:val="00AB7AED"/>
    <w:rsid w:val="00AC0183"/>
    <w:rsid w:val="00AC04B1"/>
    <w:rsid w:val="00AC0698"/>
    <w:rsid w:val="00AC1ACC"/>
    <w:rsid w:val="00AC1B03"/>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8C8"/>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492"/>
    <w:rsid w:val="00AF2C40"/>
    <w:rsid w:val="00AF351C"/>
    <w:rsid w:val="00AF3D13"/>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4E8"/>
    <w:rsid w:val="00B07922"/>
    <w:rsid w:val="00B10E8F"/>
    <w:rsid w:val="00B1104E"/>
    <w:rsid w:val="00B113E6"/>
    <w:rsid w:val="00B12088"/>
    <w:rsid w:val="00B128A7"/>
    <w:rsid w:val="00B137E7"/>
    <w:rsid w:val="00B138C7"/>
    <w:rsid w:val="00B13B6F"/>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96E"/>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6AA"/>
    <w:rsid w:val="00B61ED0"/>
    <w:rsid w:val="00B6319D"/>
    <w:rsid w:val="00B6392C"/>
    <w:rsid w:val="00B63FDB"/>
    <w:rsid w:val="00B648B6"/>
    <w:rsid w:val="00B64967"/>
    <w:rsid w:val="00B65538"/>
    <w:rsid w:val="00B65A18"/>
    <w:rsid w:val="00B65F8B"/>
    <w:rsid w:val="00B6611D"/>
    <w:rsid w:val="00B66383"/>
    <w:rsid w:val="00B66799"/>
    <w:rsid w:val="00B66D30"/>
    <w:rsid w:val="00B670AD"/>
    <w:rsid w:val="00B67932"/>
    <w:rsid w:val="00B67D19"/>
    <w:rsid w:val="00B70163"/>
    <w:rsid w:val="00B706AF"/>
    <w:rsid w:val="00B7134B"/>
    <w:rsid w:val="00B71665"/>
    <w:rsid w:val="00B719DF"/>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EEA"/>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6D3D"/>
    <w:rsid w:val="00B8792F"/>
    <w:rsid w:val="00B9125F"/>
    <w:rsid w:val="00B916FF"/>
    <w:rsid w:val="00B92FFE"/>
    <w:rsid w:val="00B93BBA"/>
    <w:rsid w:val="00B94445"/>
    <w:rsid w:val="00B9493B"/>
    <w:rsid w:val="00B95143"/>
    <w:rsid w:val="00B97115"/>
    <w:rsid w:val="00B976D7"/>
    <w:rsid w:val="00BA02AD"/>
    <w:rsid w:val="00BA06AE"/>
    <w:rsid w:val="00BA11F3"/>
    <w:rsid w:val="00BA185E"/>
    <w:rsid w:val="00BA1D7E"/>
    <w:rsid w:val="00BA2050"/>
    <w:rsid w:val="00BA20D0"/>
    <w:rsid w:val="00BA27A1"/>
    <w:rsid w:val="00BA2EEB"/>
    <w:rsid w:val="00BA2EFA"/>
    <w:rsid w:val="00BA2F74"/>
    <w:rsid w:val="00BA4415"/>
    <w:rsid w:val="00BA4488"/>
    <w:rsid w:val="00BA5E53"/>
    <w:rsid w:val="00BA759D"/>
    <w:rsid w:val="00BA7968"/>
    <w:rsid w:val="00BA7B15"/>
    <w:rsid w:val="00BB0320"/>
    <w:rsid w:val="00BB2668"/>
    <w:rsid w:val="00BB3275"/>
    <w:rsid w:val="00BB3604"/>
    <w:rsid w:val="00BB379D"/>
    <w:rsid w:val="00BB3F6D"/>
    <w:rsid w:val="00BB4131"/>
    <w:rsid w:val="00BB50D9"/>
    <w:rsid w:val="00BB5B7E"/>
    <w:rsid w:val="00BB6239"/>
    <w:rsid w:val="00BB6FE9"/>
    <w:rsid w:val="00BC02EF"/>
    <w:rsid w:val="00BC05DE"/>
    <w:rsid w:val="00BC14D7"/>
    <w:rsid w:val="00BC2111"/>
    <w:rsid w:val="00BC25D3"/>
    <w:rsid w:val="00BC2848"/>
    <w:rsid w:val="00BC3272"/>
    <w:rsid w:val="00BC3508"/>
    <w:rsid w:val="00BC3CA7"/>
    <w:rsid w:val="00BC3F0E"/>
    <w:rsid w:val="00BC3F14"/>
    <w:rsid w:val="00BC47DC"/>
    <w:rsid w:val="00BC51D6"/>
    <w:rsid w:val="00BC51E9"/>
    <w:rsid w:val="00BC58DC"/>
    <w:rsid w:val="00BC62C0"/>
    <w:rsid w:val="00BC633A"/>
    <w:rsid w:val="00BC6777"/>
    <w:rsid w:val="00BC67F7"/>
    <w:rsid w:val="00BC6D95"/>
    <w:rsid w:val="00BC79A6"/>
    <w:rsid w:val="00BD07B4"/>
    <w:rsid w:val="00BD11C3"/>
    <w:rsid w:val="00BD1B7C"/>
    <w:rsid w:val="00BD1CC1"/>
    <w:rsid w:val="00BD1F4A"/>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4BCE"/>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0F52"/>
    <w:rsid w:val="00C01BFA"/>
    <w:rsid w:val="00C01C2E"/>
    <w:rsid w:val="00C024FD"/>
    <w:rsid w:val="00C02901"/>
    <w:rsid w:val="00C02F81"/>
    <w:rsid w:val="00C04410"/>
    <w:rsid w:val="00C04991"/>
    <w:rsid w:val="00C04C79"/>
    <w:rsid w:val="00C05AC4"/>
    <w:rsid w:val="00C06539"/>
    <w:rsid w:val="00C068F6"/>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308"/>
    <w:rsid w:val="00C25A3A"/>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0646"/>
    <w:rsid w:val="00C511E1"/>
    <w:rsid w:val="00C51255"/>
    <w:rsid w:val="00C52389"/>
    <w:rsid w:val="00C53013"/>
    <w:rsid w:val="00C53D02"/>
    <w:rsid w:val="00C547D7"/>
    <w:rsid w:val="00C54C13"/>
    <w:rsid w:val="00C54D4A"/>
    <w:rsid w:val="00C54DF5"/>
    <w:rsid w:val="00C54E36"/>
    <w:rsid w:val="00C54E64"/>
    <w:rsid w:val="00C55C44"/>
    <w:rsid w:val="00C55C7E"/>
    <w:rsid w:val="00C600E7"/>
    <w:rsid w:val="00C60692"/>
    <w:rsid w:val="00C60873"/>
    <w:rsid w:val="00C60AD4"/>
    <w:rsid w:val="00C6155D"/>
    <w:rsid w:val="00C61700"/>
    <w:rsid w:val="00C6177C"/>
    <w:rsid w:val="00C617ED"/>
    <w:rsid w:val="00C61827"/>
    <w:rsid w:val="00C61CAE"/>
    <w:rsid w:val="00C61D2A"/>
    <w:rsid w:val="00C6319D"/>
    <w:rsid w:val="00C631C5"/>
    <w:rsid w:val="00C6390D"/>
    <w:rsid w:val="00C642C2"/>
    <w:rsid w:val="00C64534"/>
    <w:rsid w:val="00C64859"/>
    <w:rsid w:val="00C65465"/>
    <w:rsid w:val="00C65502"/>
    <w:rsid w:val="00C65A83"/>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5FE"/>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ABA"/>
    <w:rsid w:val="00C96B3F"/>
    <w:rsid w:val="00C96BB1"/>
    <w:rsid w:val="00C9794F"/>
    <w:rsid w:val="00CA0DA0"/>
    <w:rsid w:val="00CA1308"/>
    <w:rsid w:val="00CA1531"/>
    <w:rsid w:val="00CA156C"/>
    <w:rsid w:val="00CA1C61"/>
    <w:rsid w:val="00CA1FC9"/>
    <w:rsid w:val="00CA22D7"/>
    <w:rsid w:val="00CA273C"/>
    <w:rsid w:val="00CA4298"/>
    <w:rsid w:val="00CA4353"/>
    <w:rsid w:val="00CA43AA"/>
    <w:rsid w:val="00CA59F7"/>
    <w:rsid w:val="00CA6E68"/>
    <w:rsid w:val="00CA7208"/>
    <w:rsid w:val="00CB1279"/>
    <w:rsid w:val="00CB13DF"/>
    <w:rsid w:val="00CB1560"/>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453"/>
    <w:rsid w:val="00CD1734"/>
    <w:rsid w:val="00CD1B5B"/>
    <w:rsid w:val="00CD214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AF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0F8D"/>
    <w:rsid w:val="00D11F16"/>
    <w:rsid w:val="00D123F7"/>
    <w:rsid w:val="00D1409F"/>
    <w:rsid w:val="00D14494"/>
    <w:rsid w:val="00D146DA"/>
    <w:rsid w:val="00D147DE"/>
    <w:rsid w:val="00D14C99"/>
    <w:rsid w:val="00D14DAB"/>
    <w:rsid w:val="00D14F8B"/>
    <w:rsid w:val="00D150A2"/>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27CA2"/>
    <w:rsid w:val="00D30248"/>
    <w:rsid w:val="00D30A4B"/>
    <w:rsid w:val="00D314DB"/>
    <w:rsid w:val="00D319E7"/>
    <w:rsid w:val="00D31A54"/>
    <w:rsid w:val="00D3213A"/>
    <w:rsid w:val="00D32E0D"/>
    <w:rsid w:val="00D33412"/>
    <w:rsid w:val="00D33845"/>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A7F"/>
    <w:rsid w:val="00D520CD"/>
    <w:rsid w:val="00D5213B"/>
    <w:rsid w:val="00D5238D"/>
    <w:rsid w:val="00D5331B"/>
    <w:rsid w:val="00D5579C"/>
    <w:rsid w:val="00D56213"/>
    <w:rsid w:val="00D566EA"/>
    <w:rsid w:val="00D56FC3"/>
    <w:rsid w:val="00D578A8"/>
    <w:rsid w:val="00D6061D"/>
    <w:rsid w:val="00D6162B"/>
    <w:rsid w:val="00D63F6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4DE7"/>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1D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95D"/>
    <w:rsid w:val="00E07B26"/>
    <w:rsid w:val="00E07C41"/>
    <w:rsid w:val="00E07CE0"/>
    <w:rsid w:val="00E10293"/>
    <w:rsid w:val="00E11427"/>
    <w:rsid w:val="00E1169A"/>
    <w:rsid w:val="00E12598"/>
    <w:rsid w:val="00E13FD8"/>
    <w:rsid w:val="00E1542D"/>
    <w:rsid w:val="00E159FD"/>
    <w:rsid w:val="00E15E77"/>
    <w:rsid w:val="00E15EC4"/>
    <w:rsid w:val="00E165CF"/>
    <w:rsid w:val="00E166ED"/>
    <w:rsid w:val="00E1699F"/>
    <w:rsid w:val="00E20E34"/>
    <w:rsid w:val="00E212B1"/>
    <w:rsid w:val="00E21380"/>
    <w:rsid w:val="00E21E0B"/>
    <w:rsid w:val="00E23842"/>
    <w:rsid w:val="00E24072"/>
    <w:rsid w:val="00E24B03"/>
    <w:rsid w:val="00E25668"/>
    <w:rsid w:val="00E25EA1"/>
    <w:rsid w:val="00E25FBE"/>
    <w:rsid w:val="00E26712"/>
    <w:rsid w:val="00E2682A"/>
    <w:rsid w:val="00E27447"/>
    <w:rsid w:val="00E3095F"/>
    <w:rsid w:val="00E30B43"/>
    <w:rsid w:val="00E31870"/>
    <w:rsid w:val="00E319D8"/>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22E"/>
    <w:rsid w:val="00E634DA"/>
    <w:rsid w:val="00E65261"/>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339"/>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47C5"/>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5FB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0B2A"/>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1D7"/>
    <w:rsid w:val="00EB73F2"/>
    <w:rsid w:val="00EB754D"/>
    <w:rsid w:val="00EB7929"/>
    <w:rsid w:val="00EC0CE4"/>
    <w:rsid w:val="00EC11FF"/>
    <w:rsid w:val="00EC26DE"/>
    <w:rsid w:val="00EC2860"/>
    <w:rsid w:val="00EC3FDF"/>
    <w:rsid w:val="00EC44FD"/>
    <w:rsid w:val="00EC45A5"/>
    <w:rsid w:val="00EC47B6"/>
    <w:rsid w:val="00EC6842"/>
    <w:rsid w:val="00EC70C6"/>
    <w:rsid w:val="00EC714B"/>
    <w:rsid w:val="00EC7EA4"/>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592"/>
    <w:rsid w:val="00EF1D12"/>
    <w:rsid w:val="00EF208E"/>
    <w:rsid w:val="00EF2189"/>
    <w:rsid w:val="00EF2256"/>
    <w:rsid w:val="00EF2704"/>
    <w:rsid w:val="00EF2C03"/>
    <w:rsid w:val="00EF3A69"/>
    <w:rsid w:val="00EF4108"/>
    <w:rsid w:val="00EF5295"/>
    <w:rsid w:val="00EF54D4"/>
    <w:rsid w:val="00EF581C"/>
    <w:rsid w:val="00EF6278"/>
    <w:rsid w:val="00EF7611"/>
    <w:rsid w:val="00EF7741"/>
    <w:rsid w:val="00EF78D0"/>
    <w:rsid w:val="00EF7C69"/>
    <w:rsid w:val="00F00080"/>
    <w:rsid w:val="00F00778"/>
    <w:rsid w:val="00F0084E"/>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3B81"/>
    <w:rsid w:val="00F1412A"/>
    <w:rsid w:val="00F14B6C"/>
    <w:rsid w:val="00F15545"/>
    <w:rsid w:val="00F155DB"/>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E77"/>
    <w:rsid w:val="00F26FDE"/>
    <w:rsid w:val="00F30B00"/>
    <w:rsid w:val="00F314FE"/>
    <w:rsid w:val="00F31BBD"/>
    <w:rsid w:val="00F3318B"/>
    <w:rsid w:val="00F337B5"/>
    <w:rsid w:val="00F3569A"/>
    <w:rsid w:val="00F35823"/>
    <w:rsid w:val="00F35D8B"/>
    <w:rsid w:val="00F35DD8"/>
    <w:rsid w:val="00F36059"/>
    <w:rsid w:val="00F37804"/>
    <w:rsid w:val="00F37823"/>
    <w:rsid w:val="00F3785E"/>
    <w:rsid w:val="00F3796F"/>
    <w:rsid w:val="00F37FBD"/>
    <w:rsid w:val="00F40B91"/>
    <w:rsid w:val="00F41186"/>
    <w:rsid w:val="00F41845"/>
    <w:rsid w:val="00F42E4B"/>
    <w:rsid w:val="00F43BA8"/>
    <w:rsid w:val="00F4512B"/>
    <w:rsid w:val="00F4572F"/>
    <w:rsid w:val="00F461CE"/>
    <w:rsid w:val="00F46256"/>
    <w:rsid w:val="00F46AB1"/>
    <w:rsid w:val="00F472D1"/>
    <w:rsid w:val="00F50C28"/>
    <w:rsid w:val="00F50D98"/>
    <w:rsid w:val="00F51A68"/>
    <w:rsid w:val="00F51ACB"/>
    <w:rsid w:val="00F5259A"/>
    <w:rsid w:val="00F525F2"/>
    <w:rsid w:val="00F528CB"/>
    <w:rsid w:val="00F52C49"/>
    <w:rsid w:val="00F533A1"/>
    <w:rsid w:val="00F53593"/>
    <w:rsid w:val="00F53994"/>
    <w:rsid w:val="00F53D7A"/>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390"/>
    <w:rsid w:val="00F729CF"/>
    <w:rsid w:val="00F72FC2"/>
    <w:rsid w:val="00F749A8"/>
    <w:rsid w:val="00F74F32"/>
    <w:rsid w:val="00F75C81"/>
    <w:rsid w:val="00F760BB"/>
    <w:rsid w:val="00F76A97"/>
    <w:rsid w:val="00F77CFC"/>
    <w:rsid w:val="00F803E8"/>
    <w:rsid w:val="00F810F2"/>
    <w:rsid w:val="00F81192"/>
    <w:rsid w:val="00F81444"/>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1C02"/>
    <w:rsid w:val="00F92268"/>
    <w:rsid w:val="00F92820"/>
    <w:rsid w:val="00F92B36"/>
    <w:rsid w:val="00F933A0"/>
    <w:rsid w:val="00F9341B"/>
    <w:rsid w:val="00F93676"/>
    <w:rsid w:val="00F939A3"/>
    <w:rsid w:val="00F93AC8"/>
    <w:rsid w:val="00F93E31"/>
    <w:rsid w:val="00F9431A"/>
    <w:rsid w:val="00F95419"/>
    <w:rsid w:val="00F95A35"/>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DDF"/>
    <w:rsid w:val="00FA6ECF"/>
    <w:rsid w:val="00FA74FF"/>
    <w:rsid w:val="00FA7AA6"/>
    <w:rsid w:val="00FA7C01"/>
    <w:rsid w:val="00FA7C9C"/>
    <w:rsid w:val="00FA7DED"/>
    <w:rsid w:val="00FB007E"/>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2F64"/>
    <w:rsid w:val="00FC385D"/>
    <w:rsid w:val="00FC5D44"/>
    <w:rsid w:val="00FC6576"/>
    <w:rsid w:val="00FC740F"/>
    <w:rsid w:val="00FC7852"/>
    <w:rsid w:val="00FC7867"/>
    <w:rsid w:val="00FC78C0"/>
    <w:rsid w:val="00FC7E4B"/>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230"/>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1FD"/>
    <w:rsid w:val="00FE78A7"/>
    <w:rsid w:val="00FE7C80"/>
    <w:rsid w:val="00FF2F94"/>
    <w:rsid w:val="00FF35C5"/>
    <w:rsid w:val="00FF37B2"/>
    <w:rsid w:val="00FF3EB2"/>
    <w:rsid w:val="00FF530E"/>
    <w:rsid w:val="00FF5C3C"/>
    <w:rsid w:val="00FF66BF"/>
    <w:rsid w:val="00FF7695"/>
    <w:rsid w:val="29729D5D"/>
    <w:rsid w:val="489D5EA5"/>
    <w:rsid w:val="52321AD8"/>
    <w:rsid w:val="62C780E2"/>
    <w:rsid w:val="65A680CB"/>
    <w:rsid w:val="6D1DC6A4"/>
    <w:rsid w:val="755D8F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character" w:customStyle="1" w:styleId="nlmarticle-title">
    <w:name w:val="nlm_article-title"/>
    <w:basedOn w:val="DefaultParagraphFont"/>
    <w:rsid w:val="0000285F"/>
  </w:style>
  <w:style w:type="character" w:customStyle="1" w:styleId="nlmyear">
    <w:name w:val="nlm_year"/>
    <w:basedOn w:val="DefaultParagraphFont"/>
    <w:rsid w:val="0000285F"/>
  </w:style>
  <w:style w:type="character" w:customStyle="1" w:styleId="nlmfpage">
    <w:name w:val="nlm_fpage"/>
    <w:basedOn w:val="DefaultParagraphFont"/>
    <w:rsid w:val="0000285F"/>
  </w:style>
  <w:style w:type="character" w:customStyle="1" w:styleId="nlmlpage">
    <w:name w:val="nlm_lpage"/>
    <w:basedOn w:val="DefaultParagraphFont"/>
    <w:rsid w:val="00002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FAA3B1-027C-4D0A-A0A7-C6E4E2C908FE}"/>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1789</Words>
  <Characters>10198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Zoladex SGM 1918-A 6056-A</vt:lpstr>
    </vt:vector>
  </TitlesOfParts>
  <Company>CVS Caremark</Company>
  <LinksUpToDate>false</LinksUpToDate>
  <CharactersWithSpaces>11964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Zoladex SGM 1918-A 6056-A</dc:title>
  <dc:subject>Zoladex SGM 1918-A 6056-A</dc:subject>
  <dc:creator>CVS Caremark</dc:creator>
  <cp:keywords/>
  <cp:lastModifiedBy>Reynoso, Victor H</cp:lastModifiedBy>
  <cp:revision>4</cp:revision>
  <cp:lastPrinted>2018-01-09T05:01:00Z</cp:lastPrinted>
  <dcterms:created xsi:type="dcterms:W3CDTF">2025-06-04T15:33:00Z</dcterms:created>
  <dcterms:modified xsi:type="dcterms:W3CDTF">2025-06-04T15:35:00Z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1255900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